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6ED" w:rsidRDefault="007E46ED" w:rsidP="008F5D8A">
      <w:pPr>
        <w:jc w:val="center"/>
        <w:rPr>
          <w:rtl/>
        </w:rPr>
      </w:pPr>
      <w:bookmarkStart w:id="0" w:name="_GoBack"/>
      <w:bookmarkEnd w:id="0"/>
      <w:r>
        <w:rPr>
          <w:rFonts w:cs="FrankRuehl"/>
          <w:noProof/>
          <w:sz w:val="28"/>
          <w:szCs w:val="28"/>
        </w:rPr>
        <w:drawing>
          <wp:inline distT="0" distB="0" distL="0" distR="0" wp14:anchorId="73D6FCDB" wp14:editId="19AF4C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sdt>
      <w:sdtPr>
        <w:rPr>
          <w:rFonts w:ascii="Tahoma" w:hAnsi="Tahoma"/>
          <w:color w:val="000080"/>
          <w:sz w:val="32"/>
          <w:szCs w:val="32"/>
          <w:rtl/>
        </w:rPr>
        <w:alias w:val="1174"/>
        <w:tag w:val="1174"/>
        <w:id w:val="-1585920285"/>
        <w:text w:multiLine="1"/>
      </w:sdtPr>
      <w:sdtEndPr/>
      <w:sdtContent>
        <w:p w:rsidR="007E46ED" w:rsidRDefault="007E46ED" w:rsidP="008F5D8A">
          <w:pPr>
            <w:spacing w:line="360" w:lineRule="auto"/>
            <w:jc w:val="center"/>
          </w:pPr>
          <w:r w:rsidRPr="00F038D8">
            <w:rPr>
              <w:rFonts w:ascii="Tahoma" w:hAnsi="Tahoma"/>
              <w:color w:val="000080"/>
              <w:sz w:val="32"/>
              <w:szCs w:val="32"/>
              <w:rtl/>
            </w:rPr>
            <w:t>בית המשפט המחוזי בבאר שבע</w:t>
          </w:r>
        </w:p>
      </w:sdtContent>
    </w:sdt>
    <w:tbl>
      <w:tblPr>
        <w:tblStyle w:val="a3"/>
        <w:bidiVisual/>
        <w:tblW w:w="101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90"/>
        <w:gridCol w:w="5529"/>
        <w:gridCol w:w="42"/>
      </w:tblGrid>
      <w:tr w:rsidR="004420FD" w:rsidRPr="004420FD" w:rsidTr="008F5D8A">
        <w:trPr>
          <w:trHeight w:val="2334"/>
          <w:jc w:val="center"/>
        </w:trPr>
        <w:tc>
          <w:tcPr>
            <w:tcW w:w="4590" w:type="dxa"/>
          </w:tcPr>
          <w:p w:rsidR="00E766E4" w:rsidRPr="008F5D8A" w:rsidRDefault="00E766E4" w:rsidP="008F5D8A">
            <w:pPr>
              <w:suppressLineNumbers/>
              <w:spacing w:line="360" w:lineRule="auto"/>
              <w:ind w:left="552"/>
              <w:rPr>
                <w:rFonts w:cs="David"/>
                <w:b/>
                <w:bCs/>
                <w:noProof/>
                <w:sz w:val="26"/>
                <w:szCs w:val="26"/>
                <w:rtl/>
              </w:rPr>
            </w:pPr>
            <w:r w:rsidRPr="008F5D8A">
              <w:rPr>
                <w:rFonts w:cs="David" w:hint="cs"/>
                <w:b/>
                <w:bCs/>
                <w:noProof/>
                <w:sz w:val="26"/>
                <w:szCs w:val="26"/>
                <w:rtl/>
              </w:rPr>
              <w:t xml:space="preserve">רמ"ש 57506-07-23 פלוני </w:t>
            </w:r>
            <w:r w:rsidR="00956553" w:rsidRPr="008F5D8A">
              <w:rPr>
                <w:rFonts w:cs="David" w:hint="cs"/>
                <w:b/>
                <w:bCs/>
                <w:noProof/>
                <w:sz w:val="26"/>
                <w:szCs w:val="26"/>
                <w:rtl/>
              </w:rPr>
              <w:t xml:space="preserve">ואח' </w:t>
            </w:r>
            <w:r w:rsidRPr="008F5D8A">
              <w:rPr>
                <w:rFonts w:cs="David" w:hint="cs"/>
                <w:b/>
                <w:bCs/>
                <w:noProof/>
                <w:sz w:val="26"/>
                <w:szCs w:val="26"/>
                <w:rtl/>
              </w:rPr>
              <w:t>נ'</w:t>
            </w:r>
            <w:r w:rsidR="00956553" w:rsidRPr="008F5D8A">
              <w:rPr>
                <w:rFonts w:cs="David" w:hint="cs"/>
                <w:b/>
                <w:bCs/>
                <w:noProof/>
                <w:sz w:val="26"/>
                <w:szCs w:val="26"/>
                <w:rtl/>
              </w:rPr>
              <w:t xml:space="preserve"> א</w:t>
            </w:r>
            <w:r w:rsidRPr="008F5D8A">
              <w:rPr>
                <w:rFonts w:cs="David" w:hint="cs"/>
                <w:b/>
                <w:bCs/>
                <w:noProof/>
                <w:sz w:val="26"/>
                <w:szCs w:val="26"/>
                <w:rtl/>
              </w:rPr>
              <w:t>למוני</w:t>
            </w:r>
            <w:r w:rsidR="008F5D8A">
              <w:rPr>
                <w:rFonts w:cs="David" w:hint="cs"/>
                <w:b/>
                <w:bCs/>
                <w:noProof/>
                <w:sz w:val="26"/>
                <w:szCs w:val="26"/>
                <w:rtl/>
              </w:rPr>
              <w:t xml:space="preserve"> ואח'</w:t>
            </w:r>
          </w:p>
          <w:p w:rsidR="00E766E4" w:rsidRPr="008F5D8A" w:rsidRDefault="00E766E4" w:rsidP="008F5D8A">
            <w:pPr>
              <w:suppressLineNumbers/>
              <w:spacing w:line="360" w:lineRule="auto"/>
              <w:rPr>
                <w:rFonts w:cs="David"/>
                <w:b/>
                <w:bCs/>
                <w:noProof/>
                <w:sz w:val="26"/>
                <w:szCs w:val="26"/>
                <w:rtl/>
              </w:rPr>
            </w:pPr>
          </w:p>
          <w:p w:rsidR="00E766E4" w:rsidRPr="008F5D8A" w:rsidRDefault="00E766E4" w:rsidP="008F5D8A">
            <w:pPr>
              <w:suppressLineNumbers/>
              <w:spacing w:line="360" w:lineRule="auto"/>
              <w:ind w:firstLine="836"/>
              <w:rPr>
                <w:rFonts w:cs="David"/>
                <w:b/>
                <w:bCs/>
                <w:noProof/>
                <w:sz w:val="26"/>
                <w:szCs w:val="26"/>
                <w:rtl/>
              </w:rPr>
            </w:pPr>
            <w:r w:rsidRPr="008F5D8A">
              <w:rPr>
                <w:rFonts w:cs="David" w:hint="cs"/>
                <w:b/>
                <w:bCs/>
                <w:noProof/>
                <w:sz w:val="26"/>
                <w:szCs w:val="26"/>
                <w:rtl/>
              </w:rPr>
              <w:t>בפני כב' השופטת פאני גילת כהן</w:t>
            </w:r>
          </w:p>
          <w:p w:rsidR="00E766E4" w:rsidRPr="008F5D8A" w:rsidRDefault="00E766E4" w:rsidP="008F5D8A">
            <w:pPr>
              <w:suppressLineNumbers/>
              <w:spacing w:line="360" w:lineRule="auto"/>
              <w:rPr>
                <w:rFonts w:cs="David"/>
                <w:noProof/>
                <w:sz w:val="26"/>
                <w:szCs w:val="26"/>
                <w:rtl/>
              </w:rPr>
            </w:pPr>
          </w:p>
          <w:p w:rsidR="00E766E4" w:rsidRPr="008F5D8A" w:rsidRDefault="00E766E4" w:rsidP="008F5D8A">
            <w:pPr>
              <w:suppressLineNumbers/>
              <w:spacing w:line="360" w:lineRule="auto"/>
              <w:rPr>
                <w:rFonts w:cs="David"/>
                <w:b/>
                <w:bCs/>
                <w:noProof/>
                <w:sz w:val="26"/>
                <w:szCs w:val="26"/>
                <w:rtl/>
              </w:rPr>
            </w:pPr>
          </w:p>
          <w:p w:rsidR="00E766E4" w:rsidRPr="008F5D8A" w:rsidRDefault="008F5D8A" w:rsidP="008F5D8A">
            <w:pPr>
              <w:suppressLineNumbers/>
              <w:spacing w:line="360" w:lineRule="auto"/>
              <w:rPr>
                <w:rFonts w:cs="David"/>
                <w:b/>
                <w:bCs/>
                <w:noProof/>
                <w:sz w:val="26"/>
                <w:szCs w:val="26"/>
                <w:rtl/>
              </w:rPr>
            </w:pPr>
            <w:r>
              <w:rPr>
                <w:rFonts w:cs="David" w:hint="cs"/>
                <w:noProof/>
                <w:sz w:val="26"/>
                <w:szCs w:val="26"/>
                <w:rtl/>
              </w:rPr>
              <w:t xml:space="preserve">              </w:t>
            </w:r>
            <w:r w:rsidRPr="008F5D8A">
              <w:rPr>
                <w:rFonts w:cs="David" w:hint="cs"/>
                <w:b/>
                <w:bCs/>
                <w:noProof/>
                <w:sz w:val="26"/>
                <w:szCs w:val="26"/>
                <w:rtl/>
              </w:rPr>
              <w:t>מבקשים</w:t>
            </w:r>
          </w:p>
          <w:p w:rsidR="004420FD" w:rsidRPr="008F5D8A" w:rsidRDefault="004420FD" w:rsidP="008F5D8A">
            <w:pPr>
              <w:suppressLineNumbers/>
              <w:spacing w:line="360" w:lineRule="auto"/>
              <w:rPr>
                <w:rFonts w:ascii="Arial" w:hAnsi="Arial" w:cs="David"/>
                <w:b/>
                <w:bCs/>
                <w:sz w:val="26"/>
                <w:szCs w:val="26"/>
                <w:rtl/>
              </w:rPr>
            </w:pPr>
          </w:p>
          <w:p w:rsidR="00E766E4" w:rsidRPr="008F5D8A" w:rsidRDefault="00E766E4" w:rsidP="008F5D8A">
            <w:pPr>
              <w:suppressLineNumbers/>
              <w:spacing w:line="360" w:lineRule="auto"/>
              <w:rPr>
                <w:rFonts w:ascii="Arial" w:hAnsi="Arial" w:cs="David"/>
                <w:b/>
                <w:bCs/>
                <w:sz w:val="26"/>
                <w:szCs w:val="26"/>
                <w:rtl/>
              </w:rPr>
            </w:pPr>
          </w:p>
        </w:tc>
        <w:tc>
          <w:tcPr>
            <w:tcW w:w="5571" w:type="dxa"/>
            <w:gridSpan w:val="2"/>
          </w:tcPr>
          <w:p w:rsidR="004420FD" w:rsidRPr="004420FD" w:rsidRDefault="004420FD" w:rsidP="008F5D8A">
            <w:pPr>
              <w:suppressLineNumbers/>
              <w:spacing w:line="360" w:lineRule="auto"/>
              <w:rPr>
                <w:rFonts w:cs="David"/>
                <w:noProof/>
                <w:sz w:val="24"/>
                <w:szCs w:val="24"/>
                <w:rtl/>
              </w:rPr>
            </w:pPr>
          </w:p>
          <w:p w:rsidR="00E766E4" w:rsidRDefault="00E766E4" w:rsidP="008F5D8A">
            <w:pPr>
              <w:suppressLineNumbers/>
              <w:spacing w:line="360" w:lineRule="auto"/>
              <w:rPr>
                <w:rFonts w:ascii="Arial" w:hAnsi="Arial" w:cs="David"/>
                <w:b/>
                <w:bCs/>
                <w:sz w:val="26"/>
                <w:szCs w:val="26"/>
                <w:rtl/>
              </w:rPr>
            </w:pPr>
          </w:p>
          <w:p w:rsidR="00956553" w:rsidRDefault="00E766E4" w:rsidP="008F5D8A">
            <w:pPr>
              <w:suppressLineNumbers/>
              <w:spacing w:line="360" w:lineRule="auto"/>
              <w:rPr>
                <w:rFonts w:ascii="Arial" w:hAnsi="Arial" w:cs="David"/>
                <w:b/>
                <w:bCs/>
                <w:sz w:val="26"/>
                <w:szCs w:val="26"/>
                <w:rtl/>
              </w:rPr>
            </w:pPr>
            <w:r>
              <w:rPr>
                <w:rFonts w:ascii="Arial" w:hAnsi="Arial" w:cs="David"/>
                <w:b/>
                <w:bCs/>
                <w:sz w:val="26"/>
                <w:szCs w:val="26"/>
                <w:rtl/>
              </w:rPr>
              <w:br/>
            </w:r>
            <w:r>
              <w:rPr>
                <w:rFonts w:ascii="Arial" w:hAnsi="Arial" w:cs="David"/>
                <w:b/>
                <w:bCs/>
                <w:sz w:val="26"/>
                <w:szCs w:val="26"/>
                <w:rtl/>
              </w:rPr>
              <w:br/>
            </w:r>
          </w:p>
          <w:p w:rsidR="008F5D8A" w:rsidRDefault="008F5D8A" w:rsidP="008F5D8A">
            <w:pPr>
              <w:suppressLineNumbers/>
              <w:spacing w:line="360" w:lineRule="auto"/>
              <w:rPr>
                <w:rFonts w:ascii="Arial" w:hAnsi="Arial" w:cs="David"/>
                <w:b/>
                <w:bCs/>
                <w:sz w:val="26"/>
                <w:szCs w:val="26"/>
                <w:rtl/>
              </w:rPr>
            </w:pPr>
          </w:p>
          <w:p w:rsidR="004420FD" w:rsidRPr="00E766E4" w:rsidRDefault="00E766E4" w:rsidP="008F5D8A">
            <w:pPr>
              <w:suppressLineNumbers/>
              <w:spacing w:line="360" w:lineRule="auto"/>
              <w:rPr>
                <w:rFonts w:ascii="Arial" w:hAnsi="Arial" w:cs="David"/>
                <w:b/>
                <w:bCs/>
                <w:sz w:val="26"/>
                <w:szCs w:val="26"/>
              </w:rPr>
            </w:pPr>
            <w:r>
              <w:rPr>
                <w:rFonts w:ascii="Arial" w:hAnsi="Arial" w:cs="David" w:hint="cs"/>
                <w:b/>
                <w:bCs/>
                <w:sz w:val="26"/>
                <w:szCs w:val="26"/>
                <w:rtl/>
              </w:rPr>
              <w:t>1.</w:t>
            </w:r>
            <w:r w:rsidR="004420FD" w:rsidRPr="004420FD">
              <w:rPr>
                <w:rFonts w:ascii="Arial" w:hAnsi="Arial" w:cs="David" w:hint="cs"/>
                <w:b/>
                <w:bCs/>
                <w:sz w:val="26"/>
                <w:szCs w:val="26"/>
                <w:rtl/>
              </w:rPr>
              <w:t xml:space="preserve"> פלוני</w:t>
            </w:r>
          </w:p>
          <w:p w:rsidR="004420FD" w:rsidRPr="004420FD" w:rsidRDefault="004420FD" w:rsidP="008F5D8A">
            <w:pPr>
              <w:suppressLineNumbers/>
              <w:spacing w:line="360" w:lineRule="auto"/>
              <w:rPr>
                <w:rFonts w:cs="David"/>
                <w:b/>
                <w:bCs/>
                <w:sz w:val="26"/>
                <w:szCs w:val="26"/>
              </w:rPr>
            </w:pPr>
            <w:r w:rsidRPr="004420FD">
              <w:rPr>
                <w:rFonts w:ascii="Arial" w:hAnsi="Arial" w:cs="David"/>
                <w:b/>
                <w:bCs/>
                <w:sz w:val="26"/>
                <w:szCs w:val="26"/>
                <w:rtl/>
              </w:rPr>
              <w:t>2.</w:t>
            </w:r>
            <w:r w:rsidRPr="004420FD">
              <w:rPr>
                <w:rFonts w:ascii="Arial" w:hAnsi="Arial" w:cs="David" w:hint="cs"/>
                <w:b/>
                <w:bCs/>
                <w:sz w:val="26"/>
                <w:szCs w:val="26"/>
                <w:rtl/>
              </w:rPr>
              <w:t xml:space="preserve"> </w:t>
            </w:r>
            <w:r w:rsidRPr="004420FD">
              <w:rPr>
                <w:rFonts w:ascii="Arial" w:hAnsi="Arial" w:cs="David"/>
                <w:b/>
                <w:bCs/>
                <w:sz w:val="26"/>
                <w:szCs w:val="26"/>
                <w:rtl/>
              </w:rPr>
              <w:t xml:space="preserve">חב' </w:t>
            </w:r>
            <w:r w:rsidRPr="004420FD">
              <w:rPr>
                <w:rFonts w:ascii="Arial" w:hAnsi="Arial" w:cs="David" w:hint="cs"/>
                <w:b/>
                <w:bCs/>
                <w:sz w:val="26"/>
                <w:szCs w:val="26"/>
                <w:rtl/>
              </w:rPr>
              <w:t>פלונית</w:t>
            </w:r>
            <w:r w:rsidRPr="004420FD">
              <w:rPr>
                <w:rFonts w:ascii="Arial" w:hAnsi="Arial" w:cs="David"/>
                <w:b/>
                <w:bCs/>
                <w:sz w:val="26"/>
                <w:szCs w:val="26"/>
                <w:rtl/>
              </w:rPr>
              <w:br/>
            </w:r>
            <w:r w:rsidRPr="004420FD">
              <w:rPr>
                <w:rFonts w:ascii="Arial" w:hAnsi="Arial" w:cs="David"/>
                <w:b/>
                <w:bCs/>
                <w:sz w:val="26"/>
                <w:szCs w:val="26"/>
                <w:rtl/>
              </w:rPr>
              <w:br/>
            </w:r>
            <w:r w:rsidRPr="004420FD">
              <w:rPr>
                <w:rFonts w:ascii="Arial" w:hAnsi="Arial" w:cs="David" w:hint="cs"/>
                <w:b/>
                <w:bCs/>
                <w:sz w:val="26"/>
                <w:szCs w:val="26"/>
                <w:rtl/>
              </w:rPr>
              <w:t xml:space="preserve">באמצעות ב"כ עו"ד שחר </w:t>
            </w:r>
            <w:proofErr w:type="spellStart"/>
            <w:r w:rsidRPr="004420FD">
              <w:rPr>
                <w:rFonts w:ascii="Arial" w:hAnsi="Arial" w:cs="David" w:hint="cs"/>
                <w:b/>
                <w:bCs/>
                <w:sz w:val="26"/>
                <w:szCs w:val="26"/>
                <w:rtl/>
              </w:rPr>
              <w:t>בוטון</w:t>
            </w:r>
            <w:proofErr w:type="spellEnd"/>
          </w:p>
        </w:tc>
      </w:tr>
      <w:tr w:rsidR="004420FD" w:rsidRPr="004420FD" w:rsidTr="008F5D8A">
        <w:trPr>
          <w:gridAfter w:val="1"/>
          <w:wAfter w:w="42" w:type="dxa"/>
          <w:trHeight w:val="339"/>
          <w:jc w:val="center"/>
        </w:trPr>
        <w:tc>
          <w:tcPr>
            <w:tcW w:w="10119" w:type="dxa"/>
            <w:gridSpan w:val="2"/>
          </w:tcPr>
          <w:p w:rsidR="004420FD" w:rsidRPr="004420FD" w:rsidRDefault="004420FD" w:rsidP="004420FD">
            <w:pPr>
              <w:suppressLineNumbers/>
              <w:rPr>
                <w:rFonts w:ascii="Arial" w:hAnsi="Arial" w:cs="David"/>
                <w:b/>
                <w:bCs/>
                <w:sz w:val="26"/>
                <w:szCs w:val="26"/>
                <w:rtl/>
              </w:rPr>
            </w:pPr>
          </w:p>
          <w:p w:rsidR="004420FD" w:rsidRPr="004420FD" w:rsidRDefault="004420FD" w:rsidP="004420FD">
            <w:pPr>
              <w:suppressLineNumbers/>
              <w:jc w:val="center"/>
              <w:rPr>
                <w:rFonts w:ascii="Arial" w:hAnsi="Arial" w:cs="David"/>
                <w:b/>
                <w:bCs/>
                <w:sz w:val="26"/>
                <w:szCs w:val="26"/>
              </w:rPr>
            </w:pPr>
          </w:p>
        </w:tc>
      </w:tr>
      <w:tr w:rsidR="004420FD" w:rsidRPr="004420FD" w:rsidTr="008F5D8A">
        <w:trPr>
          <w:jc w:val="center"/>
        </w:trPr>
        <w:tc>
          <w:tcPr>
            <w:tcW w:w="4590" w:type="dxa"/>
          </w:tcPr>
          <w:p w:rsidR="004420FD" w:rsidRPr="004420FD" w:rsidRDefault="00412FB9" w:rsidP="00956553">
            <w:pPr>
              <w:suppressLineNumbers/>
              <w:ind w:firstLine="858"/>
              <w:rPr>
                <w:rFonts w:ascii="Arial" w:hAnsi="Arial" w:cs="David"/>
                <w:b/>
                <w:bCs/>
                <w:sz w:val="26"/>
                <w:szCs w:val="26"/>
              </w:rPr>
            </w:pPr>
            <w:sdt>
              <w:sdtPr>
                <w:rPr>
                  <w:rFonts w:cs="David"/>
                  <w:b/>
                  <w:bCs/>
                  <w:noProof/>
                  <w:sz w:val="24"/>
                  <w:szCs w:val="24"/>
                  <w:rtl/>
                </w:rPr>
                <w:alias w:val="1184"/>
                <w:tag w:val="1184"/>
                <w:id w:val="-340621022"/>
                <w:text w:multiLine="1"/>
              </w:sdtPr>
              <w:sdtEndPr/>
              <w:sdtContent>
                <w:r w:rsidR="004420FD" w:rsidRPr="004420FD">
                  <w:rPr>
                    <w:rFonts w:cs="David"/>
                    <w:b/>
                    <w:bCs/>
                    <w:noProof/>
                    <w:sz w:val="24"/>
                    <w:szCs w:val="24"/>
                    <w:rtl/>
                  </w:rPr>
                  <w:t>משיבים</w:t>
                </w:r>
              </w:sdtContent>
            </w:sdt>
          </w:p>
        </w:tc>
        <w:tc>
          <w:tcPr>
            <w:tcW w:w="5571" w:type="dxa"/>
            <w:gridSpan w:val="2"/>
          </w:tcPr>
          <w:p w:rsidR="004420FD" w:rsidRPr="004420FD" w:rsidRDefault="00412FB9" w:rsidP="004420FD">
            <w:pPr>
              <w:suppressLineNumbers/>
              <w:rPr>
                <w:rFonts w:ascii="Arial" w:hAnsi="Arial" w:cs="David"/>
                <w:b/>
                <w:bCs/>
                <w:sz w:val="26"/>
                <w:szCs w:val="26"/>
                <w:rtl/>
              </w:rPr>
            </w:pPr>
            <w:sdt>
              <w:sdtPr>
                <w:rPr>
                  <w:rFonts w:ascii="Arial" w:hAnsi="Arial" w:cs="David"/>
                  <w:b/>
                  <w:bCs/>
                  <w:sz w:val="26"/>
                  <w:szCs w:val="26"/>
                  <w:rtl/>
                </w:rPr>
                <w:alias w:val="1571"/>
                <w:tag w:val="1571"/>
                <w:id w:val="1028836282"/>
                <w:text w:multiLine="1"/>
              </w:sdtPr>
              <w:sdtEndPr/>
              <w:sdtContent>
                <w:r w:rsidR="004420FD" w:rsidRPr="004420FD">
                  <w:rPr>
                    <w:rFonts w:ascii="Arial" w:hAnsi="Arial" w:cs="David"/>
                    <w:b/>
                    <w:bCs/>
                    <w:sz w:val="26"/>
                    <w:szCs w:val="26"/>
                    <w:rtl/>
                  </w:rPr>
                  <w:t>1</w:t>
                </w:r>
              </w:sdtContent>
            </w:sdt>
            <w:r w:rsidR="004420FD" w:rsidRPr="004420FD">
              <w:rPr>
                <w:rFonts w:ascii="Arial" w:hAnsi="Arial" w:cs="David"/>
                <w:b/>
                <w:bCs/>
                <w:sz w:val="26"/>
                <w:szCs w:val="26"/>
                <w:rtl/>
              </w:rPr>
              <w:t>.</w:t>
            </w:r>
            <w:r w:rsidR="004420FD" w:rsidRPr="004420FD">
              <w:rPr>
                <w:rFonts w:ascii="Arial" w:hAnsi="Arial" w:cs="David" w:hint="cs"/>
                <w:b/>
                <w:bCs/>
                <w:sz w:val="26"/>
                <w:szCs w:val="26"/>
                <w:rtl/>
              </w:rPr>
              <w:t xml:space="preserve"> </w:t>
            </w:r>
            <w:sdt>
              <w:sdtPr>
                <w:rPr>
                  <w:rFonts w:ascii="Arial" w:hAnsi="Arial" w:cs="David"/>
                  <w:b/>
                  <w:bCs/>
                  <w:sz w:val="26"/>
                  <w:szCs w:val="26"/>
                  <w:rtl/>
                </w:rPr>
                <w:alias w:val="3152"/>
                <w:tag w:val="3152"/>
                <w:id w:val="-1346628691"/>
                <w:placeholder>
                  <w:docPart w:val="471132EF7D06463B8F247568F3456BA5"/>
                </w:placeholder>
                <w:text w:multiLine="1"/>
              </w:sdtPr>
              <w:sdtEndPr/>
              <w:sdtContent>
                <w:r w:rsidR="004420FD" w:rsidRPr="004420FD">
                  <w:rPr>
                    <w:rFonts w:ascii="Arial" w:hAnsi="Arial" w:cs="David" w:hint="cs"/>
                    <w:b/>
                    <w:bCs/>
                    <w:sz w:val="26"/>
                    <w:szCs w:val="26"/>
                    <w:rtl/>
                  </w:rPr>
                  <w:t>אלמוני</w:t>
                </w:r>
              </w:sdtContent>
            </w:sdt>
          </w:p>
          <w:p w:rsidR="004420FD" w:rsidRPr="004420FD" w:rsidRDefault="00412FB9" w:rsidP="004420FD">
            <w:pPr>
              <w:suppressLineNumbers/>
              <w:rPr>
                <w:rFonts w:ascii="Arial" w:hAnsi="Arial" w:cs="David"/>
                <w:b/>
                <w:bCs/>
                <w:sz w:val="26"/>
                <w:szCs w:val="26"/>
                <w:rtl/>
              </w:rPr>
            </w:pPr>
            <w:sdt>
              <w:sdtPr>
                <w:rPr>
                  <w:rFonts w:ascii="Arial" w:hAnsi="Arial" w:cs="David"/>
                  <w:b/>
                  <w:bCs/>
                  <w:sz w:val="26"/>
                  <w:szCs w:val="26"/>
                  <w:rtl/>
                </w:rPr>
                <w:alias w:val="1571"/>
                <w:tag w:val="1571"/>
                <w:id w:val="120353796"/>
                <w:text w:multiLine="1"/>
              </w:sdtPr>
              <w:sdtEndPr/>
              <w:sdtContent>
                <w:r w:rsidR="004420FD" w:rsidRPr="004420FD">
                  <w:rPr>
                    <w:rFonts w:ascii="Arial" w:hAnsi="Arial" w:cs="David"/>
                    <w:b/>
                    <w:bCs/>
                    <w:sz w:val="26"/>
                    <w:szCs w:val="26"/>
                    <w:rtl/>
                  </w:rPr>
                  <w:t>2</w:t>
                </w:r>
              </w:sdtContent>
            </w:sdt>
            <w:r w:rsidR="004420FD" w:rsidRPr="004420FD">
              <w:rPr>
                <w:rFonts w:ascii="Arial" w:hAnsi="Arial" w:cs="David"/>
                <w:b/>
                <w:bCs/>
                <w:sz w:val="26"/>
                <w:szCs w:val="26"/>
                <w:rtl/>
              </w:rPr>
              <w:t>.</w:t>
            </w:r>
            <w:r w:rsidR="004420FD" w:rsidRPr="004420FD">
              <w:rPr>
                <w:rFonts w:ascii="Arial" w:hAnsi="Arial" w:cs="David" w:hint="cs"/>
                <w:b/>
                <w:bCs/>
                <w:sz w:val="26"/>
                <w:szCs w:val="26"/>
                <w:rtl/>
              </w:rPr>
              <w:t xml:space="preserve"> </w:t>
            </w:r>
            <w:sdt>
              <w:sdtPr>
                <w:rPr>
                  <w:rFonts w:ascii="Arial" w:hAnsi="Arial" w:cs="David"/>
                  <w:b/>
                  <w:bCs/>
                  <w:sz w:val="26"/>
                  <w:szCs w:val="26"/>
                  <w:rtl/>
                </w:rPr>
                <w:alias w:val="3152"/>
                <w:tag w:val="3152"/>
                <w:id w:val="1634984838"/>
                <w:placeholder>
                  <w:docPart w:val="471132EF7D06463B8F247568F3456BA5"/>
                </w:placeholder>
                <w:text w:multiLine="1"/>
              </w:sdtPr>
              <w:sdtEndPr/>
              <w:sdtContent>
                <w:r w:rsidR="004420FD" w:rsidRPr="004420FD">
                  <w:rPr>
                    <w:rFonts w:ascii="Arial" w:hAnsi="Arial" w:cs="David"/>
                    <w:b/>
                    <w:bCs/>
                    <w:sz w:val="26"/>
                    <w:szCs w:val="26"/>
                    <w:rtl/>
                  </w:rPr>
                  <w:t xml:space="preserve">חב' </w:t>
                </w:r>
                <w:r w:rsidR="004420FD" w:rsidRPr="004420FD">
                  <w:rPr>
                    <w:rFonts w:ascii="Arial" w:hAnsi="Arial" w:cs="David" w:hint="cs"/>
                    <w:b/>
                    <w:bCs/>
                    <w:sz w:val="26"/>
                    <w:szCs w:val="26"/>
                    <w:rtl/>
                  </w:rPr>
                  <w:t>אלמונית</w:t>
                </w:r>
                <w:r w:rsidR="004420FD" w:rsidRPr="004420FD">
                  <w:rPr>
                    <w:rFonts w:ascii="Arial" w:hAnsi="Arial" w:cs="David"/>
                    <w:b/>
                    <w:bCs/>
                    <w:sz w:val="26"/>
                    <w:szCs w:val="26"/>
                    <w:rtl/>
                  </w:rPr>
                  <w:br/>
                </w:r>
                <w:r w:rsidR="004420FD" w:rsidRPr="004420FD">
                  <w:rPr>
                    <w:rFonts w:ascii="Arial" w:hAnsi="Arial" w:cs="David"/>
                    <w:b/>
                    <w:bCs/>
                    <w:sz w:val="26"/>
                    <w:szCs w:val="26"/>
                    <w:rtl/>
                  </w:rPr>
                  <w:br/>
                </w:r>
                <w:r w:rsidR="004420FD" w:rsidRPr="004420FD">
                  <w:rPr>
                    <w:rFonts w:ascii="Arial" w:hAnsi="Arial" w:cs="David" w:hint="cs"/>
                    <w:b/>
                    <w:bCs/>
                    <w:sz w:val="26"/>
                    <w:szCs w:val="26"/>
                    <w:rtl/>
                  </w:rPr>
                  <w:t xml:space="preserve">באמצעות ב"כ עו"ד יואל </w:t>
                </w:r>
                <w:proofErr w:type="spellStart"/>
                <w:r w:rsidR="004420FD" w:rsidRPr="004420FD">
                  <w:rPr>
                    <w:rFonts w:ascii="Arial" w:hAnsi="Arial" w:cs="David" w:hint="cs"/>
                    <w:b/>
                    <w:bCs/>
                    <w:sz w:val="26"/>
                    <w:szCs w:val="26"/>
                    <w:rtl/>
                  </w:rPr>
                  <w:t>יוספי</w:t>
                </w:r>
                <w:proofErr w:type="spellEnd"/>
              </w:sdtContent>
            </w:sdt>
          </w:p>
        </w:tc>
      </w:tr>
    </w:tbl>
    <w:p w:rsidR="004420FD" w:rsidRPr="004420FD" w:rsidRDefault="004420FD" w:rsidP="004420FD">
      <w:pPr>
        <w:suppressLineNumbers/>
        <w:spacing w:after="0" w:line="240" w:lineRule="auto"/>
        <w:rPr>
          <w:rFonts w:ascii="Times New Roman" w:eastAsia="Times New Roman" w:hAnsi="Times New Roman" w:cs="David"/>
          <w:noProof/>
          <w:sz w:val="24"/>
          <w:szCs w:val="24"/>
          <w:rtl/>
        </w:rPr>
      </w:pPr>
    </w:p>
    <w:p w:rsidR="004420FD" w:rsidRPr="004420FD" w:rsidRDefault="004420FD" w:rsidP="004420FD">
      <w:pPr>
        <w:suppressLineNumbers/>
        <w:spacing w:after="0" w:line="240" w:lineRule="auto"/>
        <w:rPr>
          <w:rFonts w:ascii="Times New Roman" w:eastAsia="Times New Roman" w:hAnsi="Times New Roman" w:cs="David"/>
          <w:noProof/>
          <w:sz w:val="24"/>
          <w:szCs w:val="24"/>
          <w:rtl/>
        </w:rPr>
      </w:pPr>
    </w:p>
    <w:p w:rsidR="004420FD" w:rsidRPr="004420FD" w:rsidRDefault="004420FD" w:rsidP="004420FD">
      <w:pPr>
        <w:suppressLineNumbers/>
        <w:spacing w:after="0" w:line="240" w:lineRule="auto"/>
        <w:rPr>
          <w:rFonts w:ascii="Times New Roman" w:eastAsia="Times New Roman" w:hAnsi="Times New Roman" w:cs="David"/>
          <w:noProof/>
          <w:sz w:val="24"/>
          <w:szCs w:val="24"/>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420FD" w:rsidRPr="004420FD" w:rsidTr="00A45D3B">
        <w:trPr>
          <w:jc w:val="center"/>
        </w:trPr>
        <w:tc>
          <w:tcPr>
            <w:tcW w:w="8820" w:type="dxa"/>
          </w:tcPr>
          <w:p w:rsidR="004420FD" w:rsidRPr="004420FD" w:rsidRDefault="004420FD" w:rsidP="004420FD">
            <w:pPr>
              <w:bidi w:val="0"/>
              <w:jc w:val="center"/>
              <w:rPr>
                <w:rFonts w:ascii="Arial" w:hAnsi="Arial" w:cs="David"/>
                <w:b/>
                <w:bCs/>
                <w:sz w:val="32"/>
                <w:szCs w:val="32"/>
                <w:u w:val="single"/>
                <w:rtl/>
              </w:rPr>
            </w:pPr>
            <w:r w:rsidRPr="004420FD">
              <w:rPr>
                <w:rFonts w:ascii="Arial" w:hAnsi="Arial" w:cs="David" w:hint="cs"/>
                <w:b/>
                <w:bCs/>
                <w:sz w:val="32"/>
                <w:szCs w:val="32"/>
                <w:u w:val="single"/>
                <w:rtl/>
              </w:rPr>
              <w:t>החלטה</w:t>
            </w:r>
          </w:p>
          <w:p w:rsidR="004420FD" w:rsidRPr="004420FD" w:rsidRDefault="004420FD" w:rsidP="004420FD">
            <w:pPr>
              <w:bidi w:val="0"/>
              <w:jc w:val="center"/>
              <w:rPr>
                <w:rFonts w:ascii="Arial" w:hAnsi="Arial" w:cs="David"/>
                <w:b/>
                <w:bCs/>
                <w:sz w:val="28"/>
                <w:szCs w:val="28"/>
                <w:u w:val="single"/>
              </w:rPr>
            </w:pPr>
          </w:p>
        </w:tc>
      </w:tr>
    </w:tbl>
    <w:p w:rsidR="004420FD" w:rsidRPr="004420FD" w:rsidRDefault="004420FD" w:rsidP="004420FD">
      <w:pPr>
        <w:spacing w:after="0" w:line="360" w:lineRule="auto"/>
        <w:jc w:val="both"/>
        <w:rPr>
          <w:rFonts w:ascii="Arial" w:eastAsia="Times New Roman" w:hAnsi="Arial" w:cs="David"/>
          <w:sz w:val="24"/>
          <w:szCs w:val="24"/>
          <w:rtl/>
        </w:rPr>
      </w:pPr>
      <w:bookmarkStart w:id="1" w:name="NGCSBookmark"/>
      <w:bookmarkEnd w:id="1"/>
      <w:r w:rsidRPr="004420FD">
        <w:rPr>
          <w:rFonts w:ascii="Times New Roman" w:eastAsia="Times New Roman" w:hAnsi="Times New Roman" w:cs="David" w:hint="cs"/>
          <w:b/>
          <w:bCs/>
          <w:noProof/>
          <w:sz w:val="24"/>
          <w:szCs w:val="24"/>
          <w:rtl/>
        </w:rPr>
        <w:t xml:space="preserve">היש להתערב בהחלטת בית המשפט לענייני משפחה בגדרה נדחתה בקשת המבקשים לעיון מחדש בהחלטתו מיום 31.05.2023, אם לאו </w:t>
      </w:r>
      <w:r w:rsidRPr="004420FD">
        <w:rPr>
          <w:rFonts w:ascii="Times New Roman" w:eastAsia="Times New Roman" w:hAnsi="Times New Roman" w:cs="David"/>
          <w:b/>
          <w:bCs/>
          <w:noProof/>
          <w:sz w:val="24"/>
          <w:szCs w:val="24"/>
          <w:rtl/>
        </w:rPr>
        <w:t>–</w:t>
      </w:r>
      <w:r w:rsidRPr="004420FD">
        <w:rPr>
          <w:rFonts w:ascii="Times New Roman" w:eastAsia="Times New Roman" w:hAnsi="Times New Roman" w:cs="David" w:hint="cs"/>
          <w:b/>
          <w:bCs/>
          <w:noProof/>
          <w:sz w:val="24"/>
          <w:szCs w:val="24"/>
          <w:rtl/>
        </w:rPr>
        <w:t xml:space="preserve"> זוהי השאלה שבלב ההחלטה שלפנינו.</w:t>
      </w:r>
      <w:r w:rsidRPr="004420FD">
        <w:rPr>
          <w:rFonts w:ascii="Arial" w:eastAsia="Times New Roman" w:hAnsi="Arial" w:cs="David" w:hint="cs"/>
          <w:sz w:val="24"/>
          <w:szCs w:val="24"/>
          <w:rtl/>
        </w:rPr>
        <w:t xml:space="preserve"> </w:t>
      </w:r>
    </w:p>
    <w:p w:rsidR="004420FD" w:rsidRPr="004420FD" w:rsidRDefault="004420FD" w:rsidP="004420FD">
      <w:pPr>
        <w:spacing w:after="0" w:line="360" w:lineRule="auto"/>
        <w:jc w:val="both"/>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u w:val="single"/>
        </w:rPr>
      </w:pPr>
      <w:r w:rsidRPr="004420FD">
        <w:rPr>
          <w:rFonts w:ascii="Arial" w:eastAsia="Times New Roman" w:hAnsi="Arial" w:cs="David"/>
          <w:sz w:val="24"/>
          <w:szCs w:val="24"/>
          <w:rtl/>
        </w:rPr>
        <w:t xml:space="preserve">מונחת לפניי בקשת רשות ערעור המכוונת כנגד </w:t>
      </w:r>
      <w:r w:rsidRPr="004420FD">
        <w:rPr>
          <w:rFonts w:ascii="Arial" w:eastAsia="Times New Roman" w:hAnsi="Arial" w:cs="David" w:hint="cs"/>
          <w:sz w:val="24"/>
          <w:szCs w:val="24"/>
          <w:rtl/>
        </w:rPr>
        <w:t>החלטת בית המשפט לענייני משפחה בבאר שבע (כב' השופט אריאל ממן)</w:t>
      </w:r>
      <w:r w:rsidRPr="004420FD">
        <w:rPr>
          <w:rFonts w:ascii="Arial" w:eastAsia="Times New Roman" w:hAnsi="Arial" w:cs="David"/>
          <w:sz w:val="24"/>
          <w:szCs w:val="24"/>
          <w:rtl/>
        </w:rPr>
        <w:t xml:space="preserve"> </w:t>
      </w:r>
      <w:r w:rsidRPr="004420FD">
        <w:rPr>
          <w:rFonts w:ascii="Arial" w:eastAsia="Times New Roman" w:hAnsi="Arial" w:cs="David" w:hint="cs"/>
          <w:sz w:val="24"/>
          <w:szCs w:val="24"/>
          <w:rtl/>
        </w:rPr>
        <w:t xml:space="preserve">מיום 06.07.2023 בגדרה נדחתה בקשת המבקש לעיון חוזר בהחלטה מיום 31.05.2023. במסגרת ההחלטה האמורה נדחתה בקשת המבקשים, שהוגשה כהודעת הבהרה, בה עתרו לקבלת הכרעה מפי בית המשפט בכל העניינים השנויים במחלוקת, אשר לא  הוכרעו ע"י הדירקטור המכריע שמונה על ידו בהליך. </w:t>
      </w:r>
    </w:p>
    <w:p w:rsidR="004420FD" w:rsidRPr="004420FD" w:rsidRDefault="004420FD" w:rsidP="004420FD">
      <w:pPr>
        <w:spacing w:after="0" w:line="360" w:lineRule="auto"/>
        <w:ind w:left="720"/>
        <w:contextualSpacing/>
        <w:jc w:val="both"/>
        <w:rPr>
          <w:rFonts w:ascii="David" w:eastAsia="Times New Roman" w:hAnsi="David" w:cs="David"/>
          <w:sz w:val="24"/>
          <w:szCs w:val="24"/>
          <w:u w:val="single"/>
        </w:rPr>
      </w:pPr>
    </w:p>
    <w:p w:rsidR="004420FD" w:rsidRPr="004420FD" w:rsidRDefault="004420FD" w:rsidP="004420FD">
      <w:pPr>
        <w:spacing w:after="0" w:line="360" w:lineRule="auto"/>
        <w:ind w:left="720"/>
        <w:contextualSpacing/>
        <w:jc w:val="both"/>
        <w:rPr>
          <w:rFonts w:ascii="David" w:eastAsia="Times New Roman" w:hAnsi="David" w:cs="David"/>
          <w:sz w:val="24"/>
          <w:szCs w:val="24"/>
          <w:u w:val="single"/>
        </w:rPr>
      </w:pPr>
      <w:r w:rsidRPr="004420FD">
        <w:rPr>
          <w:rFonts w:ascii="Arial" w:eastAsia="Times New Roman" w:hAnsi="Arial" w:cs="David" w:hint="cs"/>
          <w:sz w:val="24"/>
          <w:szCs w:val="24"/>
          <w:rtl/>
        </w:rPr>
        <w:t>ההחלטות האמורות ניתנו במסגרת הליך בו נקטו המבקשים כנגד המשיבים (</w:t>
      </w:r>
      <w:proofErr w:type="spellStart"/>
      <w:r w:rsidRPr="004420FD">
        <w:rPr>
          <w:rFonts w:ascii="Arial" w:eastAsia="Times New Roman" w:hAnsi="Arial" w:cs="David" w:hint="cs"/>
          <w:sz w:val="24"/>
          <w:szCs w:val="24"/>
          <w:rtl/>
        </w:rPr>
        <w:t>תמ"ש</w:t>
      </w:r>
      <w:proofErr w:type="spellEnd"/>
      <w:r w:rsidRPr="004420FD">
        <w:rPr>
          <w:rFonts w:ascii="Arial" w:eastAsia="Times New Roman" w:hAnsi="Arial" w:cs="David" w:hint="cs"/>
          <w:sz w:val="24"/>
          <w:szCs w:val="24"/>
          <w:rtl/>
        </w:rPr>
        <w:t xml:space="preserve"> 63648-01-22) - תובענה חוזית-כספית על רקע הסכם פשרה שנחתם בידיהם (אגב הליך משפטי קודם שנוהל ביניהם- </w:t>
      </w:r>
      <w:proofErr w:type="spellStart"/>
      <w:r w:rsidRPr="004420FD">
        <w:rPr>
          <w:rFonts w:ascii="Arial" w:eastAsia="Times New Roman" w:hAnsi="Arial" w:cs="David" w:hint="cs"/>
          <w:sz w:val="24"/>
          <w:szCs w:val="24"/>
          <w:rtl/>
        </w:rPr>
        <w:t>תמ"ש</w:t>
      </w:r>
      <w:proofErr w:type="spellEnd"/>
      <w:r w:rsidRPr="004420FD">
        <w:rPr>
          <w:rFonts w:ascii="Arial" w:eastAsia="Times New Roman" w:hAnsi="Arial" w:cs="David" w:hint="cs"/>
          <w:sz w:val="24"/>
          <w:szCs w:val="24"/>
          <w:rtl/>
        </w:rPr>
        <w:t xml:space="preserve"> 41922-12-17) ביום 19.11.2018, אושר וקיבל תוקף של פסק דין  ועניינו חלוקה בעין של נכסי נדל"ן שבבעלות חברת ..., אשר הם (וליתר דיון מבקשת 2 ומשיבה 2) מחזיקים בחלקים שווים במניותיה (להלן: </w:t>
      </w:r>
      <w:r w:rsidRPr="004420FD">
        <w:rPr>
          <w:rFonts w:ascii="Arial" w:eastAsia="Times New Roman" w:hAnsi="Arial" w:cs="David" w:hint="cs"/>
          <w:b/>
          <w:bCs/>
          <w:sz w:val="24"/>
          <w:szCs w:val="24"/>
          <w:rtl/>
        </w:rPr>
        <w:t>"החברה"</w:t>
      </w:r>
      <w:r w:rsidRPr="004420FD">
        <w:rPr>
          <w:rFonts w:ascii="Arial" w:eastAsia="Times New Roman" w:hAnsi="Arial" w:cs="David" w:hint="cs"/>
          <w:sz w:val="24"/>
          <w:szCs w:val="24"/>
          <w:rtl/>
        </w:rPr>
        <w:t>).</w:t>
      </w:r>
    </w:p>
    <w:p w:rsidR="004420FD" w:rsidRPr="004420FD" w:rsidRDefault="004420FD" w:rsidP="004420FD">
      <w:pPr>
        <w:spacing w:after="0" w:line="360" w:lineRule="auto"/>
        <w:jc w:val="both"/>
        <w:rPr>
          <w:rFonts w:ascii="Arial" w:eastAsia="Times New Roman" w:hAnsi="Arial" w:cs="David"/>
          <w:sz w:val="24"/>
          <w:szCs w:val="24"/>
          <w:rtl/>
        </w:rPr>
      </w:pPr>
    </w:p>
    <w:p w:rsidR="004420FD" w:rsidRPr="004420FD" w:rsidRDefault="004420FD" w:rsidP="004420FD">
      <w:pPr>
        <w:spacing w:after="0" w:line="360" w:lineRule="auto"/>
        <w:jc w:val="both"/>
        <w:rPr>
          <w:rFonts w:ascii="Arial" w:eastAsia="Times New Roman" w:hAnsi="Arial" w:cs="David"/>
          <w:b/>
          <w:bCs/>
          <w:sz w:val="26"/>
          <w:szCs w:val="26"/>
          <w:u w:val="single"/>
          <w:rtl/>
        </w:rPr>
      </w:pPr>
      <w:r w:rsidRPr="004420FD">
        <w:rPr>
          <w:rFonts w:ascii="Arial" w:eastAsia="Times New Roman" w:hAnsi="Arial" w:cs="David"/>
          <w:b/>
          <w:bCs/>
          <w:sz w:val="26"/>
          <w:szCs w:val="26"/>
          <w:u w:val="single"/>
          <w:rtl/>
        </w:rPr>
        <w:t>רקע כללי</w:t>
      </w:r>
      <w:r w:rsidRPr="004420FD">
        <w:rPr>
          <w:rFonts w:ascii="Arial" w:eastAsia="Times New Roman" w:hAnsi="Arial" w:cs="David" w:hint="cs"/>
          <w:b/>
          <w:bCs/>
          <w:sz w:val="26"/>
          <w:szCs w:val="26"/>
          <w:u w:val="single"/>
          <w:rtl/>
        </w:rPr>
        <w:t>, השתלשלות העניינים בבית המשפט קמא</w:t>
      </w:r>
      <w:r w:rsidRPr="004420FD">
        <w:rPr>
          <w:rFonts w:ascii="Arial" w:eastAsia="Times New Roman" w:hAnsi="Arial" w:cs="David"/>
          <w:b/>
          <w:bCs/>
          <w:sz w:val="26"/>
          <w:szCs w:val="26"/>
          <w:u w:val="single"/>
          <w:rtl/>
        </w:rPr>
        <w:t xml:space="preserve"> ותמצית טענות הצדדים</w:t>
      </w:r>
    </w:p>
    <w:p w:rsidR="004420FD" w:rsidRPr="004420FD" w:rsidRDefault="004420FD" w:rsidP="004420FD">
      <w:pPr>
        <w:spacing w:after="0" w:line="240" w:lineRule="auto"/>
        <w:jc w:val="both"/>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lastRenderedPageBreak/>
        <w:t xml:space="preserve">המבקש 1 הוא בעליה של מבקשת 2; המשיב 2 הוא בעליה של משיבה 2; המבקש 1 והמשיב 1 הם אחים, וכאמור, המבקשת 2 והמשיבה 2 מחזיקות במניות החברה בחלקים שווים. </w:t>
      </w: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 xml:space="preserve">מן המונח לפניי עולה, כי בעבר כבר נתגלעו מחלוקות בין הצדדים בעניין ניהול החברה ונכסיה, ומשכך פנו המשיבים דכאן לבית המשפט קמא בשלהי שנת 2017 והגישו כנגד המבקשים דכאן תביעה שעניינה, למעשה, היפרדות עסקית ביניהם, והיא הוכתרה כתביעה לפירוק שיתוף. </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 xml:space="preserve">במסגרת ההליך האמור עלה בידי הצדדים לגבש הסכם פשרה שעניינו חלוקה בעין ביניהם של נכסי החברה, אשר אושר ע"י בית המשפט וניתן לו תוקף של פסק דין (להלן: </w:t>
      </w:r>
      <w:r w:rsidRPr="004420FD">
        <w:rPr>
          <w:rFonts w:ascii="Arial" w:eastAsia="Times New Roman" w:hAnsi="Arial" w:cs="David" w:hint="cs"/>
          <w:b/>
          <w:bCs/>
          <w:sz w:val="24"/>
          <w:szCs w:val="24"/>
          <w:rtl/>
        </w:rPr>
        <w:t>"ההסכם"</w:t>
      </w:r>
      <w:r w:rsidRPr="004420FD">
        <w:rPr>
          <w:rFonts w:ascii="Arial" w:eastAsia="Times New Roman" w:hAnsi="Arial" w:cs="David" w:hint="cs"/>
          <w:sz w:val="24"/>
          <w:szCs w:val="24"/>
          <w:rtl/>
        </w:rPr>
        <w:t xml:space="preserve">).  </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 xml:space="preserve">בחודש ינואר אשתקד הוגשה ע"י המבקשים תובענה כספית-חוזית (בגדרה אף עתרו לסעד הצהרתי) שעילתה הפרת ההסכם, כטענתם, ע"י המשיבים. </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בית המשפט קמא קיים דיונים מספר בהליך ונדרש למתן החלטות רבות. כך, בין השאר, הוחלט על ידו ביום 20.07.2022 על מינוי דירקטור מכריע, ובהתאם לקבוע בהסכם ניתנו לו סמכויות רחבות להכרעה בכלל המחלוקות בין הצדדים.</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ביום 17.01.2023 הוגש לתיק בית המשפט עדכון הדירקטור המכריע ובו סיכום ההכרעות האופרטיביות שניתנו על ידו.</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 xml:space="preserve">ביום 18.01.2023 התקיים דיון בבית המשפט קמא (כולו מחוץ לפרוטוקול) במסגרתו עלה בידי הצדדים לגבש הסכמות הנוגעות ליישום </w:t>
      </w:r>
      <w:proofErr w:type="spellStart"/>
      <w:r w:rsidRPr="004420FD">
        <w:rPr>
          <w:rFonts w:ascii="Arial" w:eastAsia="Times New Roman" w:hAnsi="Arial" w:cs="David" w:hint="cs"/>
          <w:sz w:val="24"/>
          <w:szCs w:val="24"/>
          <w:rtl/>
        </w:rPr>
        <w:t>תניות</w:t>
      </w:r>
      <w:proofErr w:type="spellEnd"/>
      <w:r w:rsidRPr="004420FD">
        <w:rPr>
          <w:rFonts w:ascii="Arial" w:eastAsia="Times New Roman" w:hAnsi="Arial" w:cs="David" w:hint="cs"/>
          <w:sz w:val="24"/>
          <w:szCs w:val="24"/>
          <w:rtl/>
        </w:rPr>
        <w:t xml:space="preserve"> ההסכם ולמנגנון ההשגה על הכרעת הדירקטור המכריע. בית המשפט אישר ההסכמות ונתן להן תוקף של החלטה. </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u w:val="single"/>
        </w:rPr>
      </w:pPr>
      <w:r w:rsidRPr="004420FD">
        <w:rPr>
          <w:rFonts w:ascii="David" w:eastAsia="Times New Roman" w:hAnsi="David" w:cs="David" w:hint="cs"/>
          <w:sz w:val="24"/>
          <w:szCs w:val="24"/>
          <w:rtl/>
        </w:rPr>
        <w:t xml:space="preserve">ביום 18.05.2023 התקיים דיון נוסף, שנקבע בדחיפות לבקשת הדירקטור המכריע, לפיה נותרו על המדוכה מספר עניינים בהם נדרשת הכרעה שיפוטית, ובראשם מחלוקת משפטית בין הצדדים בעניין פרשנות </w:t>
      </w:r>
      <w:proofErr w:type="spellStart"/>
      <w:r w:rsidRPr="004420FD">
        <w:rPr>
          <w:rFonts w:ascii="David" w:eastAsia="Times New Roman" w:hAnsi="David" w:cs="David" w:hint="cs"/>
          <w:sz w:val="24"/>
          <w:szCs w:val="24"/>
          <w:rtl/>
        </w:rPr>
        <w:t>תניות</w:t>
      </w:r>
      <w:proofErr w:type="spellEnd"/>
      <w:r w:rsidRPr="004420FD">
        <w:rPr>
          <w:rFonts w:ascii="David" w:eastAsia="Times New Roman" w:hAnsi="David" w:cs="David" w:hint="cs"/>
          <w:sz w:val="24"/>
          <w:szCs w:val="24"/>
          <w:rtl/>
        </w:rPr>
        <w:t xml:space="preserve"> בהסכם ומתן הוראות לצורך סיום סופי ומוחלט של כלל המחלוקות ביניהם.</w:t>
      </w:r>
      <w:r w:rsidRPr="004420FD">
        <w:rPr>
          <w:rFonts w:ascii="David" w:eastAsia="Times New Roman" w:hAnsi="David" w:cs="David" w:hint="cs"/>
          <w:sz w:val="24"/>
          <w:szCs w:val="24"/>
          <w:u w:val="single"/>
          <w:rtl/>
        </w:rPr>
        <w:t xml:space="preserve"> </w:t>
      </w:r>
    </w:p>
    <w:p w:rsidR="004420FD" w:rsidRPr="004420FD" w:rsidRDefault="004420FD" w:rsidP="004420FD">
      <w:pPr>
        <w:spacing w:after="0" w:line="240" w:lineRule="auto"/>
        <w:ind w:left="720"/>
        <w:contextualSpacing/>
        <w:rPr>
          <w:rFonts w:ascii="David" w:eastAsia="Times New Roman" w:hAnsi="David" w:cs="David"/>
          <w:sz w:val="24"/>
          <w:szCs w:val="24"/>
          <w:u w:val="single"/>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rPr>
      </w:pPr>
      <w:r w:rsidRPr="004420FD">
        <w:rPr>
          <w:rFonts w:ascii="David" w:eastAsia="Times New Roman" w:hAnsi="David" w:cs="David" w:hint="cs"/>
          <w:sz w:val="24"/>
          <w:szCs w:val="24"/>
          <w:rtl/>
        </w:rPr>
        <w:t xml:space="preserve">בעקבות הדיון ולאחר שנשמעו טענות הצדדים והדירקטור המכריע, ניתנה ביום 19.05.2023 החלטה בה הוגדרו ע"י בית המשפט קמא הנושאים אשר טעונים עדיין הכרעה, תוך מתן הוראות לצדדים לסכם טיעוניהם בכתב בהתייחס לשניים מתוכם. </w:t>
      </w:r>
    </w:p>
    <w:p w:rsidR="004420FD" w:rsidRPr="004420FD" w:rsidRDefault="004420FD" w:rsidP="004420FD">
      <w:pPr>
        <w:spacing w:after="0" w:line="240" w:lineRule="auto"/>
        <w:ind w:left="720"/>
        <w:contextualSpacing/>
        <w:rPr>
          <w:rFonts w:ascii="David" w:eastAsia="Times New Roman" w:hAnsi="David" w:cs="David"/>
          <w:sz w:val="24"/>
          <w:szCs w:val="24"/>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rPr>
      </w:pPr>
      <w:r w:rsidRPr="004420FD">
        <w:rPr>
          <w:rFonts w:ascii="David" w:eastAsia="Times New Roman" w:hAnsi="David" w:cs="David" w:hint="cs"/>
          <w:sz w:val="24"/>
          <w:szCs w:val="24"/>
          <w:rtl/>
        </w:rPr>
        <w:t xml:space="preserve">בסמוך לאחר מתן ההחלטה, הגישו המשיבים בקשה להשלמה שלה עקב השמטה של סוגיה נוספת הטעונה הכרעה, אשר יש לאפשר לצדדים לטעון לגביה,  ועניינה - המועד לחישוב הריביות שתתווספנה, ככל שתתווספנה לתשלום האיזון בין סלי הנכסים, והועלתה במסגרת הדיון מיום 18.05.2023. </w:t>
      </w:r>
    </w:p>
    <w:p w:rsidR="004420FD" w:rsidRPr="004420FD" w:rsidRDefault="004420FD" w:rsidP="004420FD">
      <w:pPr>
        <w:spacing w:after="0" w:line="240" w:lineRule="auto"/>
        <w:ind w:left="720"/>
        <w:contextualSpacing/>
        <w:rPr>
          <w:rFonts w:ascii="David" w:eastAsia="Times New Roman" w:hAnsi="David" w:cs="David"/>
          <w:sz w:val="24"/>
          <w:szCs w:val="24"/>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rPr>
      </w:pPr>
      <w:r w:rsidRPr="004420FD">
        <w:rPr>
          <w:rFonts w:ascii="David" w:eastAsia="Times New Roman" w:hAnsi="David" w:cs="David" w:hint="cs"/>
          <w:sz w:val="24"/>
          <w:szCs w:val="24"/>
          <w:rtl/>
        </w:rPr>
        <w:t>היות שסוגיה זו אכן עלתה במסגרת הדיון, נעתר בית המשפט למבוקש, והורה לצדדים להתייחס גם אליה בסיכומיהם.</w:t>
      </w:r>
    </w:p>
    <w:p w:rsidR="004420FD" w:rsidRPr="004420FD" w:rsidRDefault="004420FD" w:rsidP="004420FD">
      <w:pPr>
        <w:spacing w:after="0" w:line="240" w:lineRule="auto"/>
        <w:ind w:left="720"/>
        <w:contextualSpacing/>
        <w:rPr>
          <w:rFonts w:ascii="David" w:eastAsia="Times New Roman" w:hAnsi="David" w:cs="David"/>
          <w:sz w:val="24"/>
          <w:szCs w:val="24"/>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rPr>
      </w:pPr>
      <w:r w:rsidRPr="004420FD">
        <w:rPr>
          <w:rFonts w:ascii="David" w:eastAsia="Times New Roman" w:hAnsi="David" w:cs="David" w:hint="cs"/>
          <w:sz w:val="24"/>
          <w:szCs w:val="24"/>
          <w:rtl/>
        </w:rPr>
        <w:lastRenderedPageBreak/>
        <w:t xml:space="preserve">בסמוך למתן ההחלטה האמורה, ביום 21.05.2023, הגישו המבקשים בקשה שהוכתרה כ"הודעה ותגובה" במסגרתה עתרו, כי כשם שבית המשפט נעתר לבקשת המשיבים, כך מבוקש שתינתן לצדדים האפשרות לכלול בסיכומיהם כל טענה שהועלתה בכתבי הטענות שלהם. </w:t>
      </w:r>
    </w:p>
    <w:p w:rsidR="004420FD" w:rsidRPr="004420FD" w:rsidRDefault="004420FD" w:rsidP="004420FD">
      <w:pPr>
        <w:spacing w:after="0" w:line="240" w:lineRule="auto"/>
        <w:ind w:left="720"/>
        <w:contextualSpacing/>
        <w:rPr>
          <w:rFonts w:ascii="David" w:eastAsia="Times New Roman" w:hAnsi="David" w:cs="David"/>
          <w:sz w:val="24"/>
          <w:szCs w:val="24"/>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rPr>
      </w:pPr>
      <w:r w:rsidRPr="004420FD">
        <w:rPr>
          <w:rFonts w:ascii="David" w:eastAsia="Times New Roman" w:hAnsi="David" w:cs="David" w:hint="cs"/>
          <w:sz w:val="24"/>
          <w:szCs w:val="24"/>
          <w:rtl/>
        </w:rPr>
        <w:t xml:space="preserve">המבקשים נדרשו להבהיר באופן קונקרטי הנושאים לגביהם הוגשה הבקשה, ומדוע לא בא זכרם במסגרת הדיון מיום 18.05.2023, אשר נועד לליבון הנושאים שנותרו להכרעה לאחר הכרעת הדירקטור המכריע, והם מילאו אחר ההחלטה. </w:t>
      </w:r>
    </w:p>
    <w:p w:rsidR="004420FD" w:rsidRPr="004420FD" w:rsidRDefault="004420FD" w:rsidP="004420FD">
      <w:pPr>
        <w:spacing w:after="0" w:line="240" w:lineRule="auto"/>
        <w:ind w:left="720"/>
        <w:contextualSpacing/>
        <w:rPr>
          <w:rFonts w:ascii="David" w:eastAsia="Times New Roman" w:hAnsi="David" w:cs="David"/>
          <w:sz w:val="24"/>
          <w:szCs w:val="24"/>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rPr>
      </w:pPr>
      <w:r w:rsidRPr="004420FD">
        <w:rPr>
          <w:rFonts w:ascii="David" w:eastAsia="Times New Roman" w:hAnsi="David" w:cs="David" w:hint="cs"/>
          <w:sz w:val="24"/>
          <w:szCs w:val="24"/>
          <w:rtl/>
        </w:rPr>
        <w:t xml:space="preserve">בעקבות זאת ניתנה ביום 31.05.2023 החלטה על פיה נדחתה בקשת המבקשים, </w:t>
      </w:r>
      <w:r w:rsidRPr="004420FD">
        <w:rPr>
          <w:rFonts w:ascii="David" w:eastAsia="Times New Roman" w:hAnsi="David" w:cs="David" w:hint="cs"/>
          <w:b/>
          <w:bCs/>
          <w:sz w:val="24"/>
          <w:szCs w:val="24"/>
          <w:rtl/>
        </w:rPr>
        <w:t xml:space="preserve"> </w:t>
      </w:r>
      <w:r w:rsidRPr="004420FD">
        <w:rPr>
          <w:rFonts w:ascii="David" w:eastAsia="Times New Roman" w:hAnsi="David" w:cs="David" w:hint="cs"/>
          <w:sz w:val="24"/>
          <w:szCs w:val="24"/>
          <w:rtl/>
        </w:rPr>
        <w:t xml:space="preserve">והיא נומקה כהאי לישנא: </w:t>
      </w:r>
      <w:r w:rsidRPr="004420FD">
        <w:rPr>
          <w:rFonts w:ascii="David" w:eastAsia="Times New Roman" w:hAnsi="David" w:cs="David" w:hint="cs"/>
          <w:b/>
          <w:bCs/>
          <w:sz w:val="24"/>
          <w:szCs w:val="24"/>
          <w:rtl/>
        </w:rPr>
        <w:t xml:space="preserve">"לנוכח הסכמות הצדדים בדיון ובשים לב לכל </w:t>
      </w:r>
      <w:proofErr w:type="spellStart"/>
      <w:r w:rsidRPr="004420FD">
        <w:rPr>
          <w:rFonts w:ascii="David" w:eastAsia="Times New Roman" w:hAnsi="David" w:cs="David" w:hint="cs"/>
          <w:b/>
          <w:bCs/>
          <w:sz w:val="24"/>
          <w:szCs w:val="24"/>
          <w:rtl/>
        </w:rPr>
        <w:t>החלטותי</w:t>
      </w:r>
      <w:proofErr w:type="spellEnd"/>
      <w:r w:rsidRPr="004420FD">
        <w:rPr>
          <w:rFonts w:ascii="David" w:eastAsia="Times New Roman" w:hAnsi="David" w:cs="David" w:hint="cs"/>
          <w:b/>
          <w:bCs/>
          <w:sz w:val="24"/>
          <w:szCs w:val="24"/>
          <w:rtl/>
        </w:rPr>
        <w:t xml:space="preserve"> הקודמות ומשהובהר על ידי הצדדים כולם כי ביהמ"ש נדרש להכריע בסוגיות קונקרטיות ומצומצמות שנותרו במחלוקת ובהן בלבד ואף גובש הסדר דיוני בהתאם להצהרת ב"כ הצדדים ולהסכמותיהם, לא מצאתי כל הצדקה להידרש לטענות נוספות, תוך ניסיון לבצע מקצה שיפורים בניגוד להסכמות ו/או בניגוד להחלטות קודמות.."</w:t>
      </w:r>
      <w:r w:rsidRPr="004420FD">
        <w:rPr>
          <w:rFonts w:ascii="David" w:eastAsia="Times New Roman" w:hAnsi="David" w:cs="David" w:hint="cs"/>
          <w:sz w:val="24"/>
          <w:szCs w:val="24"/>
          <w:rtl/>
        </w:rPr>
        <w:t xml:space="preserve">. </w:t>
      </w:r>
    </w:p>
    <w:p w:rsidR="004420FD" w:rsidRPr="004420FD" w:rsidRDefault="004420FD" w:rsidP="004420FD">
      <w:pPr>
        <w:spacing w:after="0" w:line="240" w:lineRule="auto"/>
        <w:ind w:left="720"/>
        <w:contextualSpacing/>
        <w:rPr>
          <w:rFonts w:ascii="David" w:eastAsia="Times New Roman" w:hAnsi="David"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David" w:eastAsia="Times New Roman" w:hAnsi="David" w:cs="David" w:hint="cs"/>
          <w:sz w:val="24"/>
          <w:szCs w:val="24"/>
          <w:rtl/>
        </w:rPr>
        <w:t xml:space="preserve">למחרת היום פנו המבקשים בבקשה לעיון חוזר בהחלטה, שעה שלדידם </w:t>
      </w:r>
      <w:r w:rsidRPr="004420FD">
        <w:rPr>
          <w:rFonts w:ascii="Arial" w:eastAsia="Times New Roman" w:hAnsi="Arial" w:cs="David" w:hint="cs"/>
          <w:sz w:val="24"/>
          <w:szCs w:val="24"/>
          <w:rtl/>
        </w:rPr>
        <w:t xml:space="preserve">נגרם בעטיה </w:t>
      </w:r>
      <w:r w:rsidRPr="004420FD">
        <w:rPr>
          <w:rFonts w:ascii="Arial" w:eastAsia="Times New Roman" w:hAnsi="Arial" w:cs="David"/>
          <w:sz w:val="24"/>
          <w:szCs w:val="24"/>
          <w:rtl/>
        </w:rPr>
        <w:t xml:space="preserve">מצב אבסורדי, </w:t>
      </w:r>
      <w:r w:rsidRPr="004420FD">
        <w:rPr>
          <w:rFonts w:ascii="Arial" w:eastAsia="Times New Roman" w:hAnsi="Arial" w:cs="David" w:hint="cs"/>
          <w:sz w:val="24"/>
          <w:szCs w:val="24"/>
          <w:rtl/>
        </w:rPr>
        <w:t xml:space="preserve">כלשונם, ובו הם </w:t>
      </w:r>
      <w:r w:rsidRPr="004420FD">
        <w:rPr>
          <w:rFonts w:ascii="Arial" w:eastAsia="Times New Roman" w:hAnsi="Arial" w:cs="David"/>
          <w:sz w:val="24"/>
          <w:szCs w:val="24"/>
          <w:rtl/>
        </w:rPr>
        <w:t xml:space="preserve">מאבדים רכיב </w:t>
      </w:r>
      <w:r w:rsidRPr="004420FD">
        <w:rPr>
          <w:rFonts w:ascii="Arial" w:eastAsia="Times New Roman" w:hAnsi="Arial" w:cs="David" w:hint="cs"/>
          <w:sz w:val="24"/>
          <w:szCs w:val="24"/>
          <w:rtl/>
        </w:rPr>
        <w:t xml:space="preserve">בתביעתם ששוויו הכספי עולה על </w:t>
      </w:r>
      <w:r w:rsidRPr="004420FD">
        <w:rPr>
          <w:rFonts w:ascii="Arial" w:eastAsia="Times New Roman" w:hAnsi="Arial" w:cs="David"/>
          <w:sz w:val="24"/>
          <w:szCs w:val="24"/>
          <w:rtl/>
        </w:rPr>
        <w:t xml:space="preserve">חצי מיליון ₪, </w:t>
      </w:r>
      <w:r w:rsidRPr="004420FD">
        <w:rPr>
          <w:rFonts w:ascii="Arial" w:eastAsia="Times New Roman" w:hAnsi="Arial" w:cs="David" w:hint="cs"/>
          <w:sz w:val="24"/>
          <w:szCs w:val="24"/>
          <w:rtl/>
        </w:rPr>
        <w:t xml:space="preserve">בלא שבית המשפט נתן להם הזכות להביא בפניו טענותיהם בעניין, על אף שהוא שיש לו ביטוי בתביעה ושולמה בגינו אגרה על ידם; כן נטען על ידם, כי מדובר בסוגיה שהוכרעה ע"י הדירקטור המכריע בחודש אפריל השנה ולשיטתם יצאה שגגה טעות ידו; כי </w:t>
      </w:r>
      <w:r w:rsidRPr="004420FD">
        <w:rPr>
          <w:rFonts w:ascii="Arial" w:eastAsia="Times New Roman" w:hAnsi="Arial" w:cs="David"/>
          <w:sz w:val="24"/>
          <w:szCs w:val="24"/>
          <w:rtl/>
        </w:rPr>
        <w:t xml:space="preserve">הדיון מיום 18.5.2023 </w:t>
      </w:r>
      <w:r w:rsidRPr="004420FD">
        <w:rPr>
          <w:rFonts w:ascii="Arial" w:eastAsia="Times New Roman" w:hAnsi="Arial" w:cs="David" w:hint="cs"/>
          <w:sz w:val="24"/>
          <w:szCs w:val="24"/>
          <w:rtl/>
        </w:rPr>
        <w:t xml:space="preserve">נקבע לשם בירור עניין דחוף בלבד, ולא ניתנה להם האפשרות לטעון בנדון </w:t>
      </w:r>
      <w:proofErr w:type="spellStart"/>
      <w:r w:rsidRPr="004420FD">
        <w:rPr>
          <w:rFonts w:ascii="Arial" w:eastAsia="Times New Roman" w:hAnsi="Arial" w:cs="David" w:hint="cs"/>
          <w:sz w:val="24"/>
          <w:szCs w:val="24"/>
          <w:rtl/>
        </w:rPr>
        <w:t>דדן</w:t>
      </w:r>
      <w:proofErr w:type="spellEnd"/>
      <w:r w:rsidRPr="004420FD">
        <w:rPr>
          <w:rFonts w:ascii="Arial" w:eastAsia="Times New Roman" w:hAnsi="Arial" w:cs="David" w:hint="cs"/>
          <w:sz w:val="24"/>
          <w:szCs w:val="24"/>
          <w:rtl/>
        </w:rPr>
        <w:t xml:space="preserve">, אך הם לא ויתרו על הסעד הנדון, ומשכך נגרם להם עוול ועיוות דין. </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b/>
          <w:bCs/>
          <w:sz w:val="24"/>
          <w:szCs w:val="24"/>
        </w:rPr>
      </w:pPr>
      <w:r w:rsidRPr="004420FD">
        <w:rPr>
          <w:rFonts w:ascii="David" w:eastAsia="Times New Roman" w:hAnsi="David" w:cs="David" w:hint="cs"/>
          <w:sz w:val="24"/>
          <w:szCs w:val="24"/>
          <w:rtl/>
        </w:rPr>
        <w:t>ביני לביני הוגשו סיכומי הצדדים.</w:t>
      </w:r>
    </w:p>
    <w:p w:rsidR="004420FD" w:rsidRPr="004420FD" w:rsidRDefault="004420FD" w:rsidP="004420FD">
      <w:pPr>
        <w:spacing w:after="0" w:line="240" w:lineRule="auto"/>
        <w:ind w:left="720"/>
        <w:contextualSpacing/>
        <w:rPr>
          <w:rFonts w:ascii="David" w:eastAsia="Times New Roman" w:hAnsi="David"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b/>
          <w:bCs/>
          <w:sz w:val="24"/>
          <w:szCs w:val="24"/>
        </w:rPr>
      </w:pPr>
      <w:r w:rsidRPr="004420FD">
        <w:rPr>
          <w:rFonts w:ascii="David" w:eastAsia="Times New Roman" w:hAnsi="David" w:cs="David" w:hint="cs"/>
          <w:sz w:val="24"/>
          <w:szCs w:val="24"/>
          <w:rtl/>
        </w:rPr>
        <w:t xml:space="preserve">ביום 06.07.2023 ניתנה ההחלטה בבקשה לעיון חוזר - נושא הבקשה שלפנינו, הדוחה אותה, תוך שנקבע ע"י בית המשפט קמא לאמור: </w:t>
      </w:r>
      <w:r w:rsidRPr="004420FD">
        <w:rPr>
          <w:rFonts w:ascii="David" w:eastAsia="Times New Roman" w:hAnsi="David" w:cs="David" w:hint="cs"/>
          <w:b/>
          <w:bCs/>
          <w:sz w:val="24"/>
          <w:szCs w:val="24"/>
          <w:rtl/>
        </w:rPr>
        <w:t xml:space="preserve">" </w:t>
      </w:r>
      <w:r w:rsidRPr="004420FD">
        <w:rPr>
          <w:rFonts w:ascii="Arial" w:eastAsia="Times New Roman" w:hAnsi="Arial" w:cs="David"/>
          <w:b/>
          <w:bCs/>
          <w:sz w:val="24"/>
          <w:szCs w:val="24"/>
          <w:rtl/>
        </w:rPr>
        <w:t>ראשית, בניגוד לטענת המבקשים, בדיון מיום  18.5.2023 הועלו כל הסוגיות שבמחלוקת ולא הוגבלה האפשרות לעשות כן, ופרוטוקול הדיון משקף הדברים באופן שאינו משתמע לשתי פנים.</w:t>
      </w:r>
    </w:p>
    <w:p w:rsidR="004420FD" w:rsidRPr="004420FD" w:rsidRDefault="004420FD" w:rsidP="004420FD">
      <w:pPr>
        <w:spacing w:after="0" w:line="360" w:lineRule="auto"/>
        <w:jc w:val="both"/>
        <w:rPr>
          <w:rFonts w:ascii="Arial" w:eastAsia="Times New Roman" w:hAnsi="Arial" w:cs="David"/>
          <w:b/>
          <w:bCs/>
          <w:sz w:val="24"/>
          <w:szCs w:val="24"/>
          <w:rtl/>
        </w:rPr>
      </w:pPr>
    </w:p>
    <w:p w:rsidR="004420FD" w:rsidRPr="004420FD" w:rsidRDefault="004420FD" w:rsidP="004420FD">
      <w:pPr>
        <w:spacing w:after="0" w:line="360" w:lineRule="auto"/>
        <w:ind w:left="720"/>
        <w:jc w:val="both"/>
        <w:rPr>
          <w:rFonts w:ascii="Arial" w:eastAsia="Times New Roman" w:hAnsi="Arial" w:cs="David"/>
          <w:b/>
          <w:bCs/>
          <w:sz w:val="24"/>
          <w:szCs w:val="24"/>
          <w:rtl/>
        </w:rPr>
      </w:pPr>
      <w:r w:rsidRPr="004420FD">
        <w:rPr>
          <w:rFonts w:ascii="Arial" w:eastAsia="Times New Roman" w:hAnsi="Arial" w:cs="David"/>
          <w:b/>
          <w:bCs/>
          <w:sz w:val="24"/>
          <w:szCs w:val="24"/>
          <w:rtl/>
        </w:rPr>
        <w:t>כך ובניגוד לאמור בסעיף 7 לבקשה, ניתנה לב"כ המבקשים זכות טיעון מלאה ודבריו באו לידי ביטוי באופן נרחב בפרוטוקול ולא נמנעה ממנו האפשרות להעלות כל טענה שחפץ להעלות. ההפך הוא הנכון.</w:t>
      </w:r>
    </w:p>
    <w:p w:rsidR="004420FD" w:rsidRPr="004420FD" w:rsidRDefault="004420FD" w:rsidP="004420FD">
      <w:pPr>
        <w:spacing w:after="0" w:line="360" w:lineRule="auto"/>
        <w:jc w:val="both"/>
        <w:rPr>
          <w:rFonts w:ascii="Arial" w:eastAsia="Times New Roman" w:hAnsi="Arial" w:cs="David"/>
          <w:b/>
          <w:bCs/>
          <w:sz w:val="24"/>
          <w:szCs w:val="24"/>
          <w:rtl/>
        </w:rPr>
      </w:pPr>
    </w:p>
    <w:p w:rsidR="004420FD" w:rsidRPr="004420FD" w:rsidRDefault="004420FD" w:rsidP="004420FD">
      <w:pPr>
        <w:spacing w:after="0" w:line="360" w:lineRule="auto"/>
        <w:ind w:left="720"/>
        <w:jc w:val="both"/>
        <w:rPr>
          <w:rFonts w:ascii="Arial" w:eastAsia="Times New Roman" w:hAnsi="Arial" w:cs="David"/>
          <w:b/>
          <w:bCs/>
          <w:sz w:val="24"/>
          <w:szCs w:val="24"/>
          <w:rtl/>
        </w:rPr>
      </w:pPr>
      <w:r w:rsidRPr="004420FD">
        <w:rPr>
          <w:rFonts w:ascii="Arial" w:eastAsia="Times New Roman" w:hAnsi="Arial" w:cs="David"/>
          <w:b/>
          <w:bCs/>
          <w:sz w:val="24"/>
          <w:szCs w:val="24"/>
          <w:rtl/>
        </w:rPr>
        <w:t>אדגיש כי דבריו של ב"כ המבקשים עצמו בתחילת הדיון (עמ' 5, ש' 17- 22) עומדים בסתירה לטענות המבקשים ומלמדים כי אין ממש בטענות אלה:</w:t>
      </w:r>
    </w:p>
    <w:p w:rsidR="004420FD" w:rsidRPr="004420FD" w:rsidRDefault="004420FD" w:rsidP="004420FD">
      <w:pPr>
        <w:spacing w:after="0" w:line="360" w:lineRule="auto"/>
        <w:jc w:val="both"/>
        <w:rPr>
          <w:rFonts w:ascii="Arial" w:eastAsia="Times New Roman" w:hAnsi="Arial" w:cs="David"/>
          <w:sz w:val="24"/>
          <w:szCs w:val="24"/>
          <w:rtl/>
        </w:rPr>
      </w:pPr>
    </w:p>
    <w:p w:rsidR="004420FD" w:rsidRPr="004420FD" w:rsidRDefault="004420FD" w:rsidP="004420FD">
      <w:pPr>
        <w:spacing w:after="0" w:line="360" w:lineRule="auto"/>
        <w:ind w:left="720"/>
        <w:jc w:val="both"/>
        <w:rPr>
          <w:rFonts w:ascii="Times New Roman" w:eastAsia="Times New Roman" w:hAnsi="Times New Roman" w:cs="David"/>
          <w:b/>
          <w:bCs/>
          <w:i/>
          <w:iCs/>
          <w:sz w:val="24"/>
          <w:szCs w:val="24"/>
          <w:rtl/>
        </w:rPr>
      </w:pPr>
      <w:r w:rsidRPr="004420FD">
        <w:rPr>
          <w:rFonts w:ascii="Times New Roman" w:eastAsia="Times New Roman" w:hAnsi="Times New Roman" w:cs="David" w:hint="cs"/>
          <w:b/>
          <w:bCs/>
          <w:i/>
          <w:iCs/>
          <w:noProof/>
          <w:sz w:val="24"/>
          <w:szCs w:val="24"/>
          <w:u w:val="single"/>
          <w:rtl/>
        </w:rPr>
        <w:t>'</w:t>
      </w:r>
      <w:r w:rsidRPr="004420FD">
        <w:rPr>
          <w:rFonts w:ascii="Times New Roman" w:eastAsia="Times New Roman" w:hAnsi="Times New Roman" w:cs="David"/>
          <w:b/>
          <w:bCs/>
          <w:i/>
          <w:iCs/>
          <w:noProof/>
          <w:sz w:val="24"/>
          <w:szCs w:val="24"/>
          <w:u w:val="single"/>
          <w:rtl/>
        </w:rPr>
        <w:t xml:space="preserve">לא צריך הוכחות, שהרי יש סדרה של רכיבים ומר </w:t>
      </w:r>
      <w:r w:rsidRPr="004420FD">
        <w:rPr>
          <w:rFonts w:ascii="Times New Roman" w:eastAsia="Times New Roman" w:hAnsi="Times New Roman" w:cs="David" w:hint="cs"/>
          <w:b/>
          <w:bCs/>
          <w:i/>
          <w:iCs/>
          <w:noProof/>
          <w:sz w:val="24"/>
          <w:szCs w:val="24"/>
          <w:u w:val="single"/>
          <w:rtl/>
        </w:rPr>
        <w:t>...</w:t>
      </w:r>
      <w:r w:rsidRPr="004420FD">
        <w:rPr>
          <w:rFonts w:ascii="Times New Roman" w:eastAsia="Times New Roman" w:hAnsi="Times New Roman" w:cs="David"/>
          <w:b/>
          <w:bCs/>
          <w:i/>
          <w:iCs/>
          <w:noProof/>
          <w:sz w:val="24"/>
          <w:szCs w:val="24"/>
          <w:u w:val="single"/>
          <w:rtl/>
        </w:rPr>
        <w:t xml:space="preserve"> הכריע בהם</w:t>
      </w:r>
      <w:r w:rsidRPr="004420FD">
        <w:rPr>
          <w:rFonts w:ascii="Times New Roman" w:eastAsia="Times New Roman" w:hAnsi="Times New Roman" w:cs="David" w:hint="cs"/>
          <w:b/>
          <w:bCs/>
          <w:i/>
          <w:iCs/>
          <w:noProof/>
          <w:sz w:val="24"/>
          <w:szCs w:val="24"/>
          <w:u w:val="single"/>
          <w:rtl/>
        </w:rPr>
        <w:t xml:space="preserve"> </w:t>
      </w:r>
      <w:r w:rsidRPr="004420FD">
        <w:rPr>
          <w:rFonts w:ascii="Times New Roman" w:eastAsia="Times New Roman" w:hAnsi="Times New Roman" w:cs="David" w:hint="cs"/>
          <w:noProof/>
          <w:sz w:val="24"/>
          <w:szCs w:val="24"/>
          <w:rtl/>
        </w:rPr>
        <w:t>(ההדגשה שלי- פ.ג.כ)</w:t>
      </w:r>
      <w:r w:rsidRPr="004420FD">
        <w:rPr>
          <w:rFonts w:ascii="Times New Roman" w:eastAsia="Times New Roman" w:hAnsi="Times New Roman" w:cs="David"/>
          <w:b/>
          <w:bCs/>
          <w:i/>
          <w:iCs/>
          <w:noProof/>
          <w:sz w:val="24"/>
          <w:szCs w:val="24"/>
          <w:rtl/>
        </w:rPr>
        <w:t xml:space="preserve">. </w:t>
      </w:r>
    </w:p>
    <w:p w:rsidR="004420FD" w:rsidRPr="004420FD" w:rsidRDefault="004420FD" w:rsidP="004420FD">
      <w:pPr>
        <w:spacing w:after="0" w:line="360" w:lineRule="auto"/>
        <w:ind w:left="720"/>
        <w:jc w:val="both"/>
        <w:rPr>
          <w:rFonts w:ascii="Times New Roman" w:eastAsia="Times New Roman" w:hAnsi="Times New Roman" w:cs="David"/>
          <w:b/>
          <w:bCs/>
          <w:i/>
          <w:iCs/>
          <w:noProof/>
          <w:sz w:val="24"/>
          <w:szCs w:val="24"/>
        </w:rPr>
      </w:pPr>
      <w:r w:rsidRPr="004420FD">
        <w:rPr>
          <w:rFonts w:ascii="Times New Roman" w:eastAsia="Times New Roman" w:hAnsi="Times New Roman" w:cs="David"/>
          <w:b/>
          <w:bCs/>
          <w:i/>
          <w:iCs/>
          <w:noProof/>
          <w:sz w:val="24"/>
          <w:szCs w:val="24"/>
          <w:rtl/>
        </w:rPr>
        <w:t xml:space="preserve">מר </w:t>
      </w:r>
      <w:r w:rsidRPr="004420FD">
        <w:rPr>
          <w:rFonts w:ascii="Times New Roman" w:eastAsia="Times New Roman" w:hAnsi="Times New Roman" w:cs="David" w:hint="cs"/>
          <w:b/>
          <w:bCs/>
          <w:i/>
          <w:iCs/>
          <w:noProof/>
          <w:sz w:val="24"/>
          <w:szCs w:val="24"/>
          <w:rtl/>
        </w:rPr>
        <w:t>...</w:t>
      </w:r>
      <w:r w:rsidRPr="004420FD">
        <w:rPr>
          <w:rFonts w:ascii="Times New Roman" w:eastAsia="Times New Roman" w:hAnsi="Times New Roman" w:cs="David"/>
          <w:b/>
          <w:bCs/>
          <w:i/>
          <w:iCs/>
          <w:noProof/>
          <w:sz w:val="24"/>
          <w:szCs w:val="24"/>
          <w:rtl/>
        </w:rPr>
        <w:t xml:space="preserve"> אמר שיש מחלוקת משפטית ולכן צריך את פסיקת בית המשפט. לא צריך טענות משפטיות ואני מבקש מבית המשפט שכל צד ישמיע סיכומיו כפי שבית המשפט אמר ואחת ולתמיד ינתן פסק דין.</w:t>
      </w:r>
    </w:p>
    <w:p w:rsidR="004420FD" w:rsidRPr="004420FD" w:rsidRDefault="004420FD" w:rsidP="004420FD">
      <w:pPr>
        <w:spacing w:after="0" w:line="360" w:lineRule="auto"/>
        <w:ind w:firstLine="720"/>
        <w:jc w:val="both"/>
        <w:rPr>
          <w:rFonts w:ascii="Times New Roman" w:eastAsia="Times New Roman" w:hAnsi="Times New Roman" w:cs="David"/>
          <w:b/>
          <w:bCs/>
          <w:i/>
          <w:iCs/>
          <w:noProof/>
          <w:sz w:val="24"/>
          <w:szCs w:val="24"/>
          <w:rtl/>
        </w:rPr>
      </w:pPr>
      <w:r w:rsidRPr="004420FD">
        <w:rPr>
          <w:rFonts w:ascii="Times New Roman" w:eastAsia="Times New Roman" w:hAnsi="Times New Roman" w:cs="David"/>
          <w:b/>
          <w:bCs/>
          <w:i/>
          <w:iCs/>
          <w:noProof/>
          <w:sz w:val="24"/>
          <w:szCs w:val="24"/>
          <w:rtl/>
        </w:rPr>
        <w:lastRenderedPageBreak/>
        <w:t xml:space="preserve">גם בעניין מכירת מגרש </w:t>
      </w:r>
      <w:r w:rsidRPr="004420FD">
        <w:rPr>
          <w:rFonts w:ascii="Times New Roman" w:eastAsia="Times New Roman" w:hAnsi="Times New Roman" w:cs="David" w:hint="cs"/>
          <w:b/>
          <w:bCs/>
          <w:i/>
          <w:iCs/>
          <w:noProof/>
          <w:sz w:val="24"/>
          <w:szCs w:val="24"/>
          <w:rtl/>
        </w:rPr>
        <w:t>...</w:t>
      </w:r>
      <w:r w:rsidRPr="004420FD">
        <w:rPr>
          <w:rFonts w:ascii="Times New Roman" w:eastAsia="Times New Roman" w:hAnsi="Times New Roman" w:cs="David"/>
          <w:b/>
          <w:bCs/>
          <w:i/>
          <w:iCs/>
          <w:noProof/>
          <w:sz w:val="24"/>
          <w:szCs w:val="24"/>
          <w:rtl/>
        </w:rPr>
        <w:t xml:space="preserve"> נאמר התובע שהוא לא מתערב. </w:t>
      </w:r>
    </w:p>
    <w:p w:rsidR="004420FD" w:rsidRPr="004420FD" w:rsidRDefault="004420FD" w:rsidP="004420FD">
      <w:pPr>
        <w:spacing w:after="0" w:line="360" w:lineRule="auto"/>
        <w:ind w:firstLine="720"/>
        <w:jc w:val="both"/>
        <w:rPr>
          <w:rFonts w:ascii="Times New Roman" w:eastAsia="Times New Roman" w:hAnsi="Times New Roman" w:cs="David"/>
          <w:noProof/>
          <w:sz w:val="24"/>
          <w:szCs w:val="24"/>
          <w:rtl/>
        </w:rPr>
      </w:pPr>
      <w:r w:rsidRPr="004420FD">
        <w:rPr>
          <w:rFonts w:ascii="Times New Roman" w:eastAsia="Times New Roman" w:hAnsi="Times New Roman" w:cs="David"/>
          <w:b/>
          <w:bCs/>
          <w:i/>
          <w:iCs/>
          <w:noProof/>
          <w:sz w:val="24"/>
          <w:szCs w:val="24"/>
          <w:u w:val="single"/>
          <w:rtl/>
        </w:rPr>
        <w:t>אני רוצה לטעון היום ובית המשפט יכריע בשאלות המצומצמות</w:t>
      </w:r>
      <w:r w:rsidRPr="004420FD">
        <w:rPr>
          <w:rFonts w:ascii="Times New Roman" w:eastAsia="Times New Roman" w:hAnsi="Times New Roman" w:cs="David" w:hint="cs"/>
          <w:b/>
          <w:bCs/>
          <w:i/>
          <w:iCs/>
          <w:noProof/>
          <w:sz w:val="24"/>
          <w:szCs w:val="24"/>
          <w:u w:val="single"/>
          <w:rtl/>
        </w:rPr>
        <w:t>'</w:t>
      </w:r>
      <w:r w:rsidRPr="004420FD">
        <w:rPr>
          <w:rFonts w:ascii="Times New Roman" w:eastAsia="Times New Roman" w:hAnsi="Times New Roman" w:cs="David" w:hint="cs"/>
          <w:noProof/>
          <w:sz w:val="24"/>
          <w:szCs w:val="24"/>
          <w:rtl/>
        </w:rPr>
        <w:t xml:space="preserve">(ההדגשה שלי </w:t>
      </w:r>
      <w:r w:rsidRPr="004420FD">
        <w:rPr>
          <w:rFonts w:ascii="Times New Roman" w:eastAsia="Times New Roman" w:hAnsi="Times New Roman" w:cs="David"/>
          <w:noProof/>
          <w:sz w:val="24"/>
          <w:szCs w:val="24"/>
          <w:rtl/>
        </w:rPr>
        <w:t>–</w:t>
      </w:r>
      <w:r w:rsidRPr="004420FD">
        <w:rPr>
          <w:rFonts w:ascii="Times New Roman" w:eastAsia="Times New Roman" w:hAnsi="Times New Roman" w:cs="David" w:hint="cs"/>
          <w:noProof/>
          <w:sz w:val="24"/>
          <w:szCs w:val="24"/>
          <w:rtl/>
        </w:rPr>
        <w:t xml:space="preserve"> פ.ג.כ)</w:t>
      </w:r>
      <w:r w:rsidRPr="004420FD">
        <w:rPr>
          <w:rFonts w:ascii="Times New Roman" w:eastAsia="Times New Roman" w:hAnsi="Times New Roman" w:cs="David"/>
          <w:b/>
          <w:bCs/>
          <w:i/>
          <w:iCs/>
          <w:noProof/>
          <w:sz w:val="24"/>
          <w:szCs w:val="24"/>
          <w:rtl/>
        </w:rPr>
        <w:t>.</w:t>
      </w:r>
      <w:r w:rsidRPr="004420FD">
        <w:rPr>
          <w:rFonts w:ascii="Times New Roman" w:eastAsia="Times New Roman" w:hAnsi="Times New Roman" w:cs="David"/>
          <w:noProof/>
          <w:sz w:val="24"/>
          <w:szCs w:val="24"/>
          <w:rtl/>
        </w:rPr>
        <w:t xml:space="preserve"> </w:t>
      </w:r>
    </w:p>
    <w:p w:rsidR="004420FD" w:rsidRPr="004420FD" w:rsidRDefault="004420FD" w:rsidP="004420FD">
      <w:pPr>
        <w:spacing w:after="0" w:line="360" w:lineRule="auto"/>
        <w:jc w:val="both"/>
        <w:rPr>
          <w:rFonts w:ascii="Arial" w:eastAsia="Times New Roman" w:hAnsi="Arial" w:cs="David"/>
          <w:sz w:val="24"/>
          <w:szCs w:val="24"/>
          <w:rtl/>
        </w:rPr>
      </w:pPr>
    </w:p>
    <w:p w:rsidR="004420FD" w:rsidRPr="004420FD" w:rsidRDefault="004420FD" w:rsidP="004420FD">
      <w:pPr>
        <w:spacing w:after="0" w:line="360" w:lineRule="auto"/>
        <w:ind w:left="720"/>
        <w:jc w:val="both"/>
        <w:rPr>
          <w:rFonts w:ascii="Arial" w:eastAsia="Times New Roman" w:hAnsi="Arial" w:cs="David"/>
          <w:b/>
          <w:bCs/>
          <w:sz w:val="24"/>
          <w:szCs w:val="24"/>
          <w:rtl/>
        </w:rPr>
      </w:pPr>
      <w:r w:rsidRPr="004420FD">
        <w:rPr>
          <w:rFonts w:ascii="Arial" w:eastAsia="Times New Roman" w:hAnsi="Arial" w:cs="David"/>
          <w:b/>
          <w:bCs/>
          <w:sz w:val="24"/>
          <w:szCs w:val="24"/>
          <w:rtl/>
        </w:rPr>
        <w:t xml:space="preserve">אוסיף גם כן, כי לאחר שנשמעו דברי הדירקטור המכריע, הגדיר ב"כ המבקשים את המחלוקות לשיטתו. לאחר מכן ניתנה לב"כ המשיבים אפשרות דומה לעשות כן ולסיום ניתנה לב"כ המבקשים זכות טיעון נוספת, כאשר היה נהיר לכל הצדדים ולכל הנוכחים כי מדובר במיצוי הטענות העומדות כעת להכרעתו של ביהמ"ש וכי הם נדרשים להתייחס לכלל הסוגיות המצויות במחלוקת, על מנת שביהמ"ש יוכל </w:t>
      </w:r>
      <w:proofErr w:type="spellStart"/>
      <w:r w:rsidRPr="004420FD">
        <w:rPr>
          <w:rFonts w:ascii="Arial" w:eastAsia="Times New Roman" w:hAnsi="Arial" w:cs="David"/>
          <w:b/>
          <w:bCs/>
          <w:sz w:val="24"/>
          <w:szCs w:val="24"/>
          <w:rtl/>
        </w:rPr>
        <w:t>ליתן</w:t>
      </w:r>
      <w:proofErr w:type="spellEnd"/>
      <w:r w:rsidRPr="004420FD">
        <w:rPr>
          <w:rFonts w:ascii="Arial" w:eastAsia="Times New Roman" w:hAnsi="Arial" w:cs="David"/>
          <w:b/>
          <w:bCs/>
          <w:sz w:val="24"/>
          <w:szCs w:val="24"/>
          <w:rtl/>
        </w:rPr>
        <w:t xml:space="preserve"> הכרעה כוללת בסוגיות אלה.</w:t>
      </w:r>
      <w:r w:rsidRPr="004420FD">
        <w:rPr>
          <w:rFonts w:ascii="Arial" w:eastAsia="Times New Roman" w:hAnsi="Arial" w:cs="David" w:hint="cs"/>
          <w:b/>
          <w:bCs/>
          <w:sz w:val="24"/>
          <w:szCs w:val="24"/>
          <w:rtl/>
        </w:rPr>
        <w:t xml:space="preserve">..". </w:t>
      </w:r>
    </w:p>
    <w:p w:rsidR="004420FD" w:rsidRPr="004420FD" w:rsidRDefault="004420FD" w:rsidP="004420FD">
      <w:pPr>
        <w:spacing w:after="0" w:line="240" w:lineRule="auto"/>
        <w:jc w:val="both"/>
        <w:rPr>
          <w:rFonts w:ascii="Arial" w:eastAsia="Times New Roman" w:hAnsi="Arial" w:cs="David"/>
          <w:sz w:val="24"/>
          <w:szCs w:val="24"/>
          <w:rtl/>
        </w:rPr>
      </w:pPr>
    </w:p>
    <w:p w:rsidR="004420FD" w:rsidRPr="004420FD" w:rsidRDefault="004420FD" w:rsidP="004420FD">
      <w:pPr>
        <w:spacing w:after="0" w:line="360" w:lineRule="auto"/>
        <w:ind w:left="720"/>
        <w:contextualSpacing/>
        <w:jc w:val="both"/>
        <w:rPr>
          <w:rFonts w:ascii="Arial" w:eastAsia="Times New Roman" w:hAnsi="Arial" w:cs="David"/>
          <w:b/>
          <w:bCs/>
          <w:sz w:val="24"/>
          <w:szCs w:val="24"/>
        </w:rPr>
      </w:pPr>
      <w:r w:rsidRPr="004420FD">
        <w:rPr>
          <w:rFonts w:ascii="David" w:eastAsia="Times New Roman" w:hAnsi="David" w:cs="David" w:hint="cs"/>
          <w:sz w:val="24"/>
          <w:szCs w:val="24"/>
          <w:rtl/>
        </w:rPr>
        <w:t xml:space="preserve">בנוסף נקבע על ידו לאמור: </w:t>
      </w:r>
      <w:r w:rsidRPr="004420FD">
        <w:rPr>
          <w:rFonts w:ascii="David" w:eastAsia="Times New Roman" w:hAnsi="David" w:cs="David" w:hint="cs"/>
          <w:b/>
          <w:bCs/>
          <w:sz w:val="24"/>
          <w:szCs w:val="24"/>
          <w:rtl/>
        </w:rPr>
        <w:t>"</w:t>
      </w:r>
      <w:r w:rsidRPr="004420FD">
        <w:rPr>
          <w:rFonts w:ascii="Arial" w:eastAsia="Times New Roman" w:hAnsi="Arial" w:cs="David"/>
          <w:b/>
          <w:bCs/>
          <w:sz w:val="24"/>
          <w:szCs w:val="24"/>
          <w:rtl/>
        </w:rPr>
        <w:t>לא למותר לציין כי ביהמ"ש מכיר הצדדים היטב ומדובר בדיון שלישי במספר, כשיריעת המחלוקת נפרסה שוב ושוב, הן בבקשות שונות והן בדיונים במעמד הצדדים.</w:t>
      </w:r>
    </w:p>
    <w:p w:rsidR="004420FD" w:rsidRPr="004420FD" w:rsidRDefault="004420FD" w:rsidP="004420FD">
      <w:pPr>
        <w:spacing w:after="0" w:line="360" w:lineRule="auto"/>
        <w:jc w:val="both"/>
        <w:rPr>
          <w:rFonts w:ascii="Arial" w:eastAsia="Times New Roman" w:hAnsi="Arial" w:cs="David"/>
          <w:b/>
          <w:bCs/>
          <w:sz w:val="24"/>
          <w:szCs w:val="24"/>
          <w:rtl/>
        </w:rPr>
      </w:pPr>
    </w:p>
    <w:p w:rsidR="004420FD" w:rsidRPr="004420FD" w:rsidRDefault="004420FD" w:rsidP="004420FD">
      <w:pPr>
        <w:spacing w:after="0" w:line="360" w:lineRule="auto"/>
        <w:ind w:left="720"/>
        <w:jc w:val="both"/>
        <w:rPr>
          <w:rFonts w:ascii="Arial" w:eastAsia="Times New Roman" w:hAnsi="Arial" w:cs="David"/>
          <w:b/>
          <w:bCs/>
          <w:sz w:val="24"/>
          <w:szCs w:val="24"/>
          <w:rtl/>
        </w:rPr>
      </w:pPr>
      <w:r w:rsidRPr="004420FD">
        <w:rPr>
          <w:rFonts w:ascii="Arial" w:eastAsia="Times New Roman" w:hAnsi="Arial" w:cs="David"/>
          <w:b/>
          <w:bCs/>
          <w:sz w:val="24"/>
          <w:szCs w:val="24"/>
          <w:rtl/>
        </w:rPr>
        <w:t xml:space="preserve">עוד יש להזכיר כי </w:t>
      </w:r>
      <w:r w:rsidRPr="004420FD">
        <w:rPr>
          <w:rFonts w:ascii="Arial" w:eastAsia="Times New Roman" w:hAnsi="Arial" w:cs="David"/>
          <w:b/>
          <w:bCs/>
          <w:sz w:val="24"/>
          <w:szCs w:val="24"/>
          <w:u w:val="single"/>
          <w:rtl/>
        </w:rPr>
        <w:t>ביהמ"ש נדרש להכריע בספיחי העניינים שנותרו במחלוקת והמונעים ביצועם של כלל הוראות הסכם</w:t>
      </w:r>
      <w:r w:rsidRPr="004420FD">
        <w:rPr>
          <w:rFonts w:ascii="Arial" w:eastAsia="Times New Roman" w:hAnsi="Arial" w:cs="David"/>
          <w:b/>
          <w:bCs/>
          <w:sz w:val="24"/>
          <w:szCs w:val="24"/>
          <w:rtl/>
        </w:rPr>
        <w:t xml:space="preserve"> </w:t>
      </w:r>
      <w:r w:rsidRPr="004420FD">
        <w:rPr>
          <w:rFonts w:ascii="Arial" w:eastAsia="Times New Roman" w:hAnsi="Arial" w:cs="David" w:hint="cs"/>
          <w:sz w:val="24"/>
          <w:szCs w:val="24"/>
          <w:rtl/>
        </w:rPr>
        <w:t xml:space="preserve">(ההדגשה שלי </w:t>
      </w:r>
      <w:r w:rsidRPr="004420FD">
        <w:rPr>
          <w:rFonts w:ascii="Arial" w:eastAsia="Times New Roman" w:hAnsi="Arial" w:cs="David"/>
          <w:sz w:val="24"/>
          <w:szCs w:val="24"/>
          <w:rtl/>
        </w:rPr>
        <w:t>–</w:t>
      </w:r>
      <w:r w:rsidRPr="004420FD">
        <w:rPr>
          <w:rFonts w:ascii="Arial" w:eastAsia="Times New Roman" w:hAnsi="Arial" w:cs="David" w:hint="cs"/>
          <w:sz w:val="24"/>
          <w:szCs w:val="24"/>
          <w:rtl/>
        </w:rPr>
        <w:t xml:space="preserve"> </w:t>
      </w:r>
      <w:proofErr w:type="spellStart"/>
      <w:r w:rsidRPr="004420FD">
        <w:rPr>
          <w:rFonts w:ascii="Arial" w:eastAsia="Times New Roman" w:hAnsi="Arial" w:cs="David" w:hint="cs"/>
          <w:sz w:val="24"/>
          <w:szCs w:val="24"/>
          <w:rtl/>
        </w:rPr>
        <w:t>פ.ג.כ</w:t>
      </w:r>
      <w:proofErr w:type="spellEnd"/>
      <w:r w:rsidRPr="004420FD">
        <w:rPr>
          <w:rFonts w:ascii="Arial" w:eastAsia="Times New Roman" w:hAnsi="Arial" w:cs="David" w:hint="cs"/>
          <w:sz w:val="24"/>
          <w:szCs w:val="24"/>
          <w:rtl/>
        </w:rPr>
        <w:t xml:space="preserve">) </w:t>
      </w:r>
      <w:r w:rsidRPr="004420FD">
        <w:rPr>
          <w:rFonts w:ascii="Arial" w:eastAsia="Times New Roman" w:hAnsi="Arial" w:cs="David"/>
          <w:b/>
          <w:bCs/>
          <w:sz w:val="24"/>
          <w:szCs w:val="24"/>
          <w:rtl/>
        </w:rPr>
        <w:t>שקיבל תוקף של פס"ד בבית משפט זה ביום 19.11.2018 (ראו החלטתי מיום 19.5.2023).</w:t>
      </w:r>
    </w:p>
    <w:p w:rsidR="004420FD" w:rsidRPr="004420FD" w:rsidRDefault="004420FD" w:rsidP="004420FD">
      <w:pPr>
        <w:spacing w:after="0" w:line="360" w:lineRule="auto"/>
        <w:jc w:val="both"/>
        <w:rPr>
          <w:rFonts w:ascii="Arial" w:eastAsia="Times New Roman" w:hAnsi="Arial" w:cs="David"/>
          <w:b/>
          <w:bCs/>
          <w:sz w:val="24"/>
          <w:szCs w:val="24"/>
          <w:rtl/>
        </w:rPr>
      </w:pPr>
    </w:p>
    <w:p w:rsidR="004420FD" w:rsidRPr="004420FD" w:rsidRDefault="004420FD" w:rsidP="004420FD">
      <w:pPr>
        <w:spacing w:after="0" w:line="360" w:lineRule="auto"/>
        <w:ind w:left="720"/>
        <w:jc w:val="both"/>
        <w:rPr>
          <w:rFonts w:ascii="Arial" w:eastAsia="Times New Roman" w:hAnsi="Arial" w:cs="David"/>
          <w:b/>
          <w:bCs/>
          <w:sz w:val="24"/>
          <w:szCs w:val="24"/>
          <w:rtl/>
        </w:rPr>
      </w:pPr>
      <w:r w:rsidRPr="004420FD">
        <w:rPr>
          <w:rFonts w:ascii="Arial" w:eastAsia="Times New Roman" w:hAnsi="Arial" w:cs="David"/>
          <w:b/>
          <w:bCs/>
          <w:sz w:val="24"/>
          <w:szCs w:val="24"/>
          <w:rtl/>
        </w:rPr>
        <w:t xml:space="preserve">הנה כי כן בשעה שיריעת המחולקת הוגדרה ע"י ב"כ הצדדים עצמם והמבקשים זנחו טענות נוספות, וזאת לאחר שהובהר לצדדים ולב"כ (במסגרת שיח שנוהל מחוץ לפרוטוקול בתחילת הדיון), כי אדרש לכל הסוגיות שנותרו במחלוקת ותינתן החלטה כוללת ביחס לסוגיות אלה, כאשר הצדדים אף נשאלו קודם לכן האם יש עניינים שדורשים בירור עובדתי והאם קיים צורך לקבוע את התיק לשמיעת ראיות, ובמענה לכך אמר ב"כ המבקשים: </w:t>
      </w:r>
      <w:r w:rsidRPr="004420FD">
        <w:rPr>
          <w:rFonts w:ascii="Arial" w:eastAsia="Times New Roman" w:hAnsi="Arial" w:cs="David" w:hint="cs"/>
          <w:b/>
          <w:bCs/>
          <w:sz w:val="24"/>
          <w:szCs w:val="24"/>
          <w:rtl/>
        </w:rPr>
        <w:t>'</w:t>
      </w:r>
      <w:r w:rsidRPr="004420FD">
        <w:rPr>
          <w:rFonts w:ascii="Times New Roman" w:eastAsia="Times New Roman" w:hAnsi="Times New Roman" w:cs="David"/>
          <w:b/>
          <w:bCs/>
          <w:i/>
          <w:iCs/>
          <w:noProof/>
          <w:sz w:val="24"/>
          <w:szCs w:val="24"/>
          <w:rtl/>
        </w:rPr>
        <w:t xml:space="preserve"> לא צריך הוכחות... ולכן צריך את פסיקת בית המשפט</w:t>
      </w:r>
      <w:r w:rsidRPr="004420FD">
        <w:rPr>
          <w:rFonts w:ascii="Arial" w:eastAsia="Times New Roman" w:hAnsi="Arial" w:cs="David" w:hint="cs"/>
          <w:b/>
          <w:bCs/>
          <w:sz w:val="24"/>
          <w:szCs w:val="24"/>
          <w:rtl/>
        </w:rPr>
        <w:t>'</w:t>
      </w:r>
      <w:r w:rsidRPr="004420FD">
        <w:rPr>
          <w:rFonts w:ascii="Arial" w:eastAsia="Times New Roman" w:hAnsi="Arial" w:cs="David"/>
          <w:b/>
          <w:bCs/>
          <w:sz w:val="24"/>
          <w:szCs w:val="24"/>
          <w:rtl/>
        </w:rPr>
        <w:t xml:space="preserve"> (עמ' 5, ש' 17-18), הרי שנהיר כי לא נפלה טעות בהחלטתי מיום 19.5.2023 בעניין זה. די לעיין בפרוטוקול הדיון מיום 18.5.2023 על מנת להבין כי בקשות המבקשים מיום 24.5.2023 ומיום 1.6.2023 הינן ניסיון לבצע מקצה שיפורים, החורג מהמסגרת הדיונית שהוסכמה ומהצהרות ב"כ המבקשים בדיון.</w:t>
      </w:r>
      <w:r w:rsidRPr="004420FD">
        <w:rPr>
          <w:rFonts w:ascii="Arial" w:eastAsia="Times New Roman" w:hAnsi="Arial" w:cs="David" w:hint="cs"/>
          <w:b/>
          <w:bCs/>
          <w:sz w:val="24"/>
          <w:szCs w:val="24"/>
          <w:rtl/>
        </w:rPr>
        <w:t xml:space="preserve">..". </w:t>
      </w:r>
    </w:p>
    <w:p w:rsidR="004420FD" w:rsidRPr="004420FD" w:rsidRDefault="004420FD" w:rsidP="004420FD">
      <w:pPr>
        <w:spacing w:after="0" w:line="240" w:lineRule="auto"/>
        <w:ind w:left="720"/>
        <w:jc w:val="both"/>
        <w:rPr>
          <w:rFonts w:ascii="Arial" w:eastAsia="Times New Roman" w:hAnsi="Arial" w:cs="David"/>
          <w:b/>
          <w:bCs/>
          <w:sz w:val="24"/>
          <w:szCs w:val="24"/>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rPr>
      </w:pPr>
      <w:r w:rsidRPr="004420FD">
        <w:rPr>
          <w:rFonts w:ascii="David" w:eastAsia="Times New Roman" w:hAnsi="David" w:cs="David" w:hint="cs"/>
          <w:sz w:val="24"/>
          <w:szCs w:val="24"/>
          <w:rtl/>
        </w:rPr>
        <w:t xml:space="preserve">המבקשים לא השלימו עם ההחלטה, והגישו הבקשה דנא לקבלת רשות  לערער עליה. המשיבים נתבקשו להגיב עליה ופעלו בהתאם, ומכאן ההחלטה דנא. </w:t>
      </w:r>
    </w:p>
    <w:p w:rsidR="004420FD" w:rsidRPr="004420FD" w:rsidRDefault="004420FD" w:rsidP="004420FD">
      <w:pPr>
        <w:spacing w:after="0" w:line="240" w:lineRule="auto"/>
        <w:ind w:left="720"/>
        <w:contextualSpacing/>
        <w:jc w:val="both"/>
        <w:rPr>
          <w:rFonts w:ascii="David" w:eastAsia="Times New Roman" w:hAnsi="David" w:cs="David"/>
          <w:sz w:val="24"/>
          <w:szCs w:val="24"/>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b/>
          <w:bCs/>
          <w:sz w:val="24"/>
          <w:szCs w:val="24"/>
          <w:u w:val="single"/>
          <w:rtl/>
        </w:rPr>
        <w:t>המבקש</w:t>
      </w:r>
      <w:r w:rsidRPr="004420FD">
        <w:rPr>
          <w:rFonts w:ascii="Arial" w:eastAsia="Times New Roman" w:hAnsi="Arial" w:cs="David" w:hint="cs"/>
          <w:b/>
          <w:bCs/>
          <w:sz w:val="24"/>
          <w:szCs w:val="24"/>
          <w:u w:val="single"/>
          <w:rtl/>
        </w:rPr>
        <w:t>ים</w:t>
      </w:r>
      <w:r w:rsidRPr="004420FD">
        <w:rPr>
          <w:rFonts w:ascii="Arial" w:eastAsia="Times New Roman" w:hAnsi="Arial" w:cs="David" w:hint="cs"/>
          <w:sz w:val="24"/>
          <w:szCs w:val="24"/>
          <w:rtl/>
        </w:rPr>
        <w:t xml:space="preserve"> משיגים למעשה על הכרעת הדירקטור המכריע בעניין הנשיאה בתשלום היטל </w:t>
      </w:r>
      <w:proofErr w:type="spellStart"/>
      <w:r w:rsidRPr="004420FD">
        <w:rPr>
          <w:rFonts w:ascii="Arial" w:eastAsia="Times New Roman" w:hAnsi="Arial" w:cs="David" w:hint="cs"/>
          <w:sz w:val="24"/>
          <w:szCs w:val="24"/>
          <w:rtl/>
        </w:rPr>
        <w:t>השצ"פ</w:t>
      </w:r>
      <w:proofErr w:type="spellEnd"/>
      <w:r w:rsidRPr="004420FD">
        <w:rPr>
          <w:rFonts w:ascii="Arial" w:eastAsia="Times New Roman" w:hAnsi="Arial" w:cs="David" w:hint="cs"/>
          <w:sz w:val="24"/>
          <w:szCs w:val="24"/>
          <w:rtl/>
        </w:rPr>
        <w:t xml:space="preserve"> (</w:t>
      </w:r>
      <w:proofErr w:type="spellStart"/>
      <w:r w:rsidRPr="004420FD">
        <w:rPr>
          <w:rFonts w:ascii="Arial" w:eastAsia="Times New Roman" w:hAnsi="Arial" w:cs="David" w:hint="cs"/>
          <w:sz w:val="24"/>
          <w:szCs w:val="24"/>
          <w:rtl/>
        </w:rPr>
        <w:t>מכח</w:t>
      </w:r>
      <w:proofErr w:type="spellEnd"/>
      <w:r w:rsidRPr="004420FD">
        <w:rPr>
          <w:rFonts w:ascii="Arial" w:eastAsia="Times New Roman" w:hAnsi="Arial" w:cs="David" w:hint="cs"/>
          <w:sz w:val="24"/>
          <w:szCs w:val="24"/>
          <w:rtl/>
        </w:rPr>
        <w:t xml:space="preserve"> הסדר פשרה עם עיריית ...) ומבססים טענתם על פרשנות סעיף 5.1 להסכם; לדידם, הם פנו בעניין לדירקטור המכריע, אך הוא לא השיב לפנייתם ולא תיקן הכרעתו; לטענתם, יש בסיכומים שהוגשו על ידם התייחסות גם לסוגיה זו וגם המשיבים התייחסו לכך בסיכומיהם; לדידם, לא ניתן להם יומם בבית המשפט והם מעולם לא ויתרו על טענותיהם בסוגיה האמורה, ובעצם דחיית הבקשה לדון ולהכריע בה נגרם להם עיוות דין; הם שבים וטוענים, כי הדיון מיום 18.05.2023 נסוב סביב סוגיות אחרות, ודי בכך שעולה מכתבי הטענות כי הסוגיה נושא דיוננו היא בבחינת פלוגתא בהליך, על מנת שבית המשפט יידרש לה ויכריע בה; אין בנמצא הסדר דיוני על פיו הם ויתרו על איזה מטענותיהם בכתב התביעה; העובדה שבית המשפט נעתר לבקשת המשיבים ותיקן ההחלטה מיום 19.05.2023 </w:t>
      </w:r>
      <w:r w:rsidRPr="004420FD">
        <w:rPr>
          <w:rFonts w:ascii="Arial" w:eastAsia="Times New Roman" w:hAnsi="Arial" w:cs="David" w:hint="cs"/>
          <w:sz w:val="24"/>
          <w:szCs w:val="24"/>
          <w:rtl/>
        </w:rPr>
        <w:lastRenderedPageBreak/>
        <w:t>(על דרך הוספת סוגיה הטעונה הכרעה) כבקשתם, בעוד בקשת המבקשים להשלמת ההחלטה נדחתה, יוצרת א-סימטריה בין הצדדים וחוסר צדק; לפיכך הם עותרים לקבלת הבקשה דנא ולמתן הוראה לבית המשפט קמא לדון ולהכריע בכל רכיבי התביעה.</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rPr>
      </w:pPr>
      <w:r w:rsidRPr="004420FD">
        <w:rPr>
          <w:rFonts w:ascii="Arial" w:eastAsia="Times New Roman" w:hAnsi="Arial" w:cs="David" w:hint="cs"/>
          <w:b/>
          <w:bCs/>
          <w:sz w:val="24"/>
          <w:szCs w:val="24"/>
          <w:u w:val="single"/>
          <w:rtl/>
        </w:rPr>
        <w:t xml:space="preserve">מנגד טוענים המשיבים, </w:t>
      </w:r>
      <w:r w:rsidRPr="004420FD">
        <w:rPr>
          <w:rFonts w:ascii="David" w:eastAsia="Times New Roman" w:hAnsi="David" w:cs="David" w:hint="cs"/>
          <w:sz w:val="24"/>
          <w:szCs w:val="24"/>
          <w:rtl/>
        </w:rPr>
        <w:t xml:space="preserve">כי ההחלטה נושא הבקשה שלפנינו נכונה, מנומקת, מפורטת ומבוססת על טענות המבקשים עצמם, אשר שבו והצהירו מפי בא כוחם במסגרת הדיון מיום 18.05.2023, כי השאלות שנותרו במחלוקת הן מצומצמות, וכי יש לכבד בקשת הדירקטור המכריע </w:t>
      </w:r>
      <w:proofErr w:type="spellStart"/>
      <w:r w:rsidRPr="004420FD">
        <w:rPr>
          <w:rFonts w:ascii="David" w:eastAsia="Times New Roman" w:hAnsi="David" w:cs="David" w:hint="cs"/>
          <w:sz w:val="24"/>
          <w:szCs w:val="24"/>
          <w:rtl/>
        </w:rPr>
        <w:t>וליתן</w:t>
      </w:r>
      <w:proofErr w:type="spellEnd"/>
      <w:r w:rsidRPr="004420FD">
        <w:rPr>
          <w:rFonts w:ascii="David" w:eastAsia="Times New Roman" w:hAnsi="David" w:cs="David" w:hint="cs"/>
          <w:sz w:val="24"/>
          <w:szCs w:val="24"/>
          <w:rtl/>
        </w:rPr>
        <w:t xml:space="preserve"> משקל להכרעתו; כי המבקשים מנסים למעשה לשוב לאחור ולנהל ההתדיינות בהליך חרף ההחלטות שניתנו ע"י בית המשפט קמא על יסוד ההסכמות בין הצדדים; בית המשפט קמא לא הגביל הצדדים או מי מהם במסגרת הדיונים שהתקיימו לפניו ואפשר להם לטעון כאוות נפשם; בקשת המשיבים להשלמת ההחלטה נבעה מהשמטת נושא הריביות ע"י בית המשפט בשוגג, שהועלה ונדון במסגרת הדיון מיום 18.05.2023, בעוד המבקשים מנסים להוסיף </w:t>
      </w:r>
      <w:proofErr w:type="spellStart"/>
      <w:r w:rsidRPr="004420FD">
        <w:rPr>
          <w:rFonts w:ascii="David" w:eastAsia="Times New Roman" w:hAnsi="David" w:cs="David" w:hint="cs"/>
          <w:sz w:val="24"/>
          <w:szCs w:val="24"/>
          <w:rtl/>
        </w:rPr>
        <w:t>פלוגתאות</w:t>
      </w:r>
      <w:proofErr w:type="spellEnd"/>
      <w:r w:rsidRPr="004420FD">
        <w:rPr>
          <w:rFonts w:ascii="David" w:eastAsia="Times New Roman" w:hAnsi="David" w:cs="David" w:hint="cs"/>
          <w:sz w:val="24"/>
          <w:szCs w:val="24"/>
          <w:rtl/>
        </w:rPr>
        <w:t xml:space="preserve"> אשר עניינן לא הוזכר כלל ולא נדון במסגרתו; הבקשה הוגשה כהודעה,  תוך חריגה מסדרי הדין הנוהגים ומכללי הפרוצדורה; הבקשה שהוגשה לבית המשפט קמא אינה מגלה עילה לעיון מחדש ובדין נדחתה; ככל שהבקשה תתקבל, תהיינה לכך השלכות רוחב, שכן </w:t>
      </w:r>
      <w:proofErr w:type="spellStart"/>
      <w:r w:rsidRPr="004420FD">
        <w:rPr>
          <w:rFonts w:ascii="David" w:eastAsia="Times New Roman" w:hAnsi="David" w:cs="David" w:hint="cs"/>
          <w:sz w:val="24"/>
          <w:szCs w:val="24"/>
          <w:rtl/>
        </w:rPr>
        <w:t>נפקותה</w:t>
      </w:r>
      <w:proofErr w:type="spellEnd"/>
      <w:r w:rsidRPr="004420FD">
        <w:rPr>
          <w:rFonts w:ascii="David" w:eastAsia="Times New Roman" w:hAnsi="David" w:cs="David" w:hint="cs"/>
          <w:sz w:val="24"/>
          <w:szCs w:val="24"/>
          <w:rtl/>
        </w:rPr>
        <w:t xml:space="preserve"> תהא  העדר יכולת של בעלי דין להסתמך על הסכמות דיוניות ועל עקרון סופיות הדיון ומתן לגיטימציה לבעלי דין לבצע "מקצה שיפורים". על שום כך, לשיטתם, דין הבקשה להידחות.  </w:t>
      </w:r>
    </w:p>
    <w:p w:rsidR="004420FD" w:rsidRPr="004420FD" w:rsidRDefault="004420FD" w:rsidP="004420FD">
      <w:pPr>
        <w:spacing w:after="0" w:line="240" w:lineRule="auto"/>
        <w:jc w:val="both"/>
        <w:rPr>
          <w:rFonts w:ascii="David" w:eastAsia="Times New Roman" w:hAnsi="David" w:cs="David"/>
          <w:sz w:val="24"/>
          <w:szCs w:val="24"/>
          <w:rtl/>
        </w:rPr>
      </w:pPr>
    </w:p>
    <w:p w:rsidR="004420FD" w:rsidRPr="004420FD" w:rsidRDefault="004420FD" w:rsidP="004420FD">
      <w:pPr>
        <w:spacing w:after="0" w:line="360" w:lineRule="auto"/>
        <w:ind w:left="360"/>
        <w:contextualSpacing/>
        <w:jc w:val="both"/>
        <w:rPr>
          <w:rFonts w:ascii="Arial" w:eastAsia="Times New Roman" w:hAnsi="Arial" w:cs="David"/>
          <w:b/>
          <w:bCs/>
          <w:sz w:val="26"/>
          <w:szCs w:val="26"/>
          <w:u w:val="single"/>
          <w:rtl/>
        </w:rPr>
      </w:pPr>
      <w:r w:rsidRPr="004420FD">
        <w:rPr>
          <w:rFonts w:ascii="Arial" w:eastAsia="Times New Roman" w:hAnsi="Arial" w:cs="David"/>
          <w:b/>
          <w:bCs/>
          <w:sz w:val="26"/>
          <w:szCs w:val="26"/>
          <w:u w:val="single"/>
          <w:rtl/>
        </w:rPr>
        <w:t>דיון והכרעה</w:t>
      </w:r>
    </w:p>
    <w:p w:rsidR="004420FD" w:rsidRPr="004420FD" w:rsidRDefault="004420FD" w:rsidP="004420FD">
      <w:pPr>
        <w:spacing w:after="0" w:line="240" w:lineRule="auto"/>
        <w:jc w:val="both"/>
        <w:rPr>
          <w:rFonts w:ascii="David" w:eastAsia="Times New Roman" w:hAnsi="David" w:cs="David"/>
          <w:sz w:val="24"/>
          <w:szCs w:val="24"/>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b/>
          <w:bCs/>
          <w:sz w:val="24"/>
          <w:szCs w:val="24"/>
          <w:rtl/>
        </w:rPr>
        <w:t xml:space="preserve">לאחר עיון </w:t>
      </w:r>
      <w:r w:rsidRPr="004420FD">
        <w:rPr>
          <w:rFonts w:ascii="Arial" w:eastAsia="Times New Roman" w:hAnsi="Arial" w:cs="David" w:hint="cs"/>
          <w:b/>
          <w:bCs/>
          <w:sz w:val="24"/>
          <w:szCs w:val="24"/>
          <w:rtl/>
        </w:rPr>
        <w:t>באשר הוגש בהליך דנא ובתיק</w:t>
      </w:r>
      <w:r w:rsidRPr="004420FD">
        <w:rPr>
          <w:rFonts w:ascii="Arial" w:eastAsia="Times New Roman" w:hAnsi="Arial" w:cs="David"/>
          <w:b/>
          <w:bCs/>
          <w:sz w:val="24"/>
          <w:szCs w:val="24"/>
          <w:rtl/>
        </w:rPr>
        <w:t xml:space="preserve"> </w:t>
      </w:r>
      <w:r w:rsidRPr="004420FD">
        <w:rPr>
          <w:rFonts w:ascii="Arial" w:eastAsia="Times New Roman" w:hAnsi="Arial" w:cs="David" w:hint="cs"/>
          <w:b/>
          <w:bCs/>
          <w:sz w:val="24"/>
          <w:szCs w:val="24"/>
          <w:rtl/>
        </w:rPr>
        <w:t>המתנהל בבית המשפט קמא,</w:t>
      </w:r>
      <w:r w:rsidRPr="004420FD">
        <w:rPr>
          <w:rFonts w:ascii="Arial" w:eastAsia="Times New Roman" w:hAnsi="Arial" w:cs="David"/>
          <w:b/>
          <w:bCs/>
          <w:sz w:val="24"/>
          <w:szCs w:val="24"/>
          <w:rtl/>
        </w:rPr>
        <w:t xml:space="preserve"> </w:t>
      </w:r>
      <w:r w:rsidRPr="004420FD">
        <w:rPr>
          <w:rFonts w:ascii="Arial" w:eastAsia="Times New Roman" w:hAnsi="Arial" w:cs="David" w:hint="cs"/>
          <w:b/>
          <w:bCs/>
          <w:sz w:val="24"/>
          <w:szCs w:val="24"/>
          <w:rtl/>
        </w:rPr>
        <w:t>ובהתאם לתקנה 138(א)(5)</w:t>
      </w:r>
      <w:r w:rsidRPr="004420FD">
        <w:rPr>
          <w:rFonts w:ascii="Arial" w:eastAsia="Times New Roman" w:hAnsi="Arial" w:cs="David"/>
          <w:b/>
          <w:bCs/>
          <w:sz w:val="24"/>
          <w:szCs w:val="24"/>
          <w:rtl/>
        </w:rPr>
        <w:t xml:space="preserve"> </w:t>
      </w:r>
      <w:r w:rsidRPr="004420FD">
        <w:rPr>
          <w:rFonts w:ascii="Arial" w:eastAsia="Times New Roman" w:hAnsi="Arial" w:cs="David" w:hint="cs"/>
          <w:b/>
          <w:bCs/>
          <w:sz w:val="24"/>
          <w:szCs w:val="24"/>
          <w:rtl/>
        </w:rPr>
        <w:t xml:space="preserve">לתקנות סדר הדין האזרחי, תשע"ט-2018 באתי לכלל מסקנה, כי דין הבקשה להידחות, וזאת </w:t>
      </w:r>
      <w:r w:rsidRPr="004420FD">
        <w:rPr>
          <w:rFonts w:ascii="Arial" w:eastAsia="Times New Roman" w:hAnsi="Arial" w:cs="David"/>
          <w:b/>
          <w:bCs/>
          <w:sz w:val="24"/>
          <w:szCs w:val="24"/>
          <w:rtl/>
        </w:rPr>
        <w:t>מהנימוקים שיובאו להלן.</w:t>
      </w:r>
    </w:p>
    <w:p w:rsidR="004420FD" w:rsidRPr="004420FD" w:rsidRDefault="004420FD" w:rsidP="004420FD">
      <w:pPr>
        <w:spacing w:after="0" w:line="240" w:lineRule="auto"/>
        <w:ind w:left="720"/>
        <w:contextualSpacing/>
        <w:jc w:val="both"/>
        <w:rPr>
          <w:rFonts w:ascii="Arial" w:eastAsia="Times New Roman" w:hAnsi="Arial" w:cs="David"/>
          <w:sz w:val="24"/>
          <w:szCs w:val="24"/>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 xml:space="preserve">ראשית, ואפילו נניח לרגע ולצורך הדיון ההחלטה בבקשת המבקשים לעיון חוזר ונתייחס להחלטה מיום 31.05.2023, הרי שעניין לנו, למעשה, בבקשת רשות לערער על החלטה דיונית-ניהולית. כידוע, החלטות ממין אלו </w:t>
      </w:r>
      <w:r w:rsidRPr="004420FD">
        <w:rPr>
          <w:rFonts w:ascii="David" w:eastAsia="Times New Roman" w:hAnsi="David" w:cs="David" w:hint="cs"/>
          <w:sz w:val="24"/>
          <w:szCs w:val="24"/>
          <w:rtl/>
        </w:rPr>
        <w:t xml:space="preserve">נטועות בלבת שיקול הדעת של הערכאה הדיונית. </w:t>
      </w:r>
    </w:p>
    <w:p w:rsidR="004420FD" w:rsidRPr="004420FD" w:rsidRDefault="004420FD" w:rsidP="004420FD">
      <w:pPr>
        <w:spacing w:after="0" w:line="240" w:lineRule="auto"/>
        <w:ind w:left="720"/>
        <w:contextualSpacing/>
        <w:rPr>
          <w:rFonts w:ascii="David" w:eastAsia="Times New Roman" w:hAnsi="David" w:cs="David"/>
          <w:sz w:val="24"/>
          <w:szCs w:val="24"/>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rPr>
      </w:pPr>
      <w:r w:rsidRPr="004420FD">
        <w:rPr>
          <w:rFonts w:ascii="David" w:eastAsia="Times New Roman" w:hAnsi="David" w:cs="David"/>
          <w:sz w:val="24"/>
          <w:szCs w:val="24"/>
          <w:rtl/>
        </w:rPr>
        <w:t xml:space="preserve">הלכה מושרשת וידועה היא, כי ערכאת הערעור ממעטת להתערב בהחלטות של הערכאה הדיונית בסוגיות דיוניות-ניהוליות, והתערבותה </w:t>
      </w:r>
      <w:proofErr w:type="spellStart"/>
      <w:r w:rsidRPr="004420FD">
        <w:rPr>
          <w:rFonts w:ascii="David" w:eastAsia="Times New Roman" w:hAnsi="David" w:cs="David" w:hint="cs"/>
          <w:sz w:val="24"/>
          <w:szCs w:val="24"/>
          <w:rtl/>
        </w:rPr>
        <w:t>בכגון</w:t>
      </w:r>
      <w:proofErr w:type="spellEnd"/>
      <w:r w:rsidRPr="004420FD">
        <w:rPr>
          <w:rFonts w:ascii="David" w:eastAsia="Times New Roman" w:hAnsi="David" w:cs="David" w:hint="cs"/>
          <w:sz w:val="24"/>
          <w:szCs w:val="24"/>
          <w:rtl/>
        </w:rPr>
        <w:t xml:space="preserve"> דא </w:t>
      </w:r>
      <w:r w:rsidRPr="004420FD">
        <w:rPr>
          <w:rFonts w:ascii="David" w:eastAsia="Times New Roman" w:hAnsi="David" w:cs="David"/>
          <w:sz w:val="24"/>
          <w:szCs w:val="24"/>
          <w:rtl/>
        </w:rPr>
        <w:t xml:space="preserve">שמורה למקרים חריגים בהם ההחלטה שהתקבלה </w:t>
      </w:r>
      <w:r w:rsidRPr="004420FD">
        <w:rPr>
          <w:rFonts w:ascii="David" w:eastAsia="Times New Roman" w:hAnsi="David" w:cs="David" w:hint="cs"/>
          <w:sz w:val="24"/>
          <w:szCs w:val="24"/>
          <w:rtl/>
        </w:rPr>
        <w:t>מנוגדת</w:t>
      </w:r>
      <w:r w:rsidRPr="004420FD">
        <w:rPr>
          <w:rFonts w:ascii="David" w:eastAsia="Times New Roman" w:hAnsi="David" w:cs="David"/>
          <w:sz w:val="24"/>
          <w:szCs w:val="24"/>
          <w:rtl/>
        </w:rPr>
        <w:t xml:space="preserve"> לדין או שהיא גורמת עיוות דין לאחד הצדדים</w:t>
      </w:r>
      <w:r w:rsidRPr="004420FD">
        <w:rPr>
          <w:rFonts w:ascii="David" w:eastAsia="Times New Roman" w:hAnsi="David" w:cs="David" w:hint="cs"/>
          <w:sz w:val="24"/>
          <w:szCs w:val="24"/>
          <w:rtl/>
        </w:rPr>
        <w:t xml:space="preserve"> [</w:t>
      </w:r>
      <w:r w:rsidRPr="004420FD">
        <w:rPr>
          <w:rFonts w:ascii="David" w:eastAsia="Times New Roman" w:hAnsi="David" w:cs="David"/>
          <w:sz w:val="24"/>
          <w:szCs w:val="24"/>
          <w:rtl/>
        </w:rPr>
        <w:t xml:space="preserve">ראו למשל: רע"א 7192/14 </w:t>
      </w:r>
      <w:r w:rsidRPr="004420FD">
        <w:rPr>
          <w:rFonts w:ascii="David" w:eastAsia="Times New Roman" w:hAnsi="David" w:cs="David"/>
          <w:b/>
          <w:bCs/>
          <w:sz w:val="24"/>
          <w:szCs w:val="24"/>
          <w:rtl/>
        </w:rPr>
        <w:t xml:space="preserve">דוד צוקר ובניו חברה לבניין והשקעות בע"מ נ' צוקר, </w:t>
      </w:r>
      <w:r w:rsidRPr="004420FD">
        <w:rPr>
          <w:rFonts w:ascii="David" w:eastAsia="Times New Roman" w:hAnsi="David" w:cs="David"/>
          <w:sz w:val="24"/>
          <w:szCs w:val="24"/>
          <w:rtl/>
        </w:rPr>
        <w:t>פורסם במאגרים האלקטרוניים</w:t>
      </w:r>
      <w:r w:rsidRPr="004420FD">
        <w:rPr>
          <w:rFonts w:ascii="David" w:eastAsia="Times New Roman" w:hAnsi="David" w:cs="David" w:hint="cs"/>
          <w:sz w:val="24"/>
          <w:szCs w:val="24"/>
          <w:rtl/>
        </w:rPr>
        <w:t xml:space="preserve">; </w:t>
      </w:r>
      <w:r w:rsidRPr="004420FD">
        <w:rPr>
          <w:rFonts w:ascii="Arial" w:eastAsia="Times New Roman" w:hAnsi="Arial" w:cs="David"/>
          <w:sz w:val="24"/>
          <w:szCs w:val="24"/>
          <w:rtl/>
        </w:rPr>
        <w:t xml:space="preserve">רע"א 624/11 </w:t>
      </w:r>
      <w:proofErr w:type="spellStart"/>
      <w:r w:rsidRPr="004420FD">
        <w:rPr>
          <w:rFonts w:ascii="Arial" w:eastAsia="Times New Roman" w:hAnsi="Arial" w:cs="David"/>
          <w:b/>
          <w:bCs/>
          <w:sz w:val="24"/>
          <w:szCs w:val="24"/>
          <w:rtl/>
        </w:rPr>
        <w:t>המוטרנות</w:t>
      </w:r>
      <w:proofErr w:type="spellEnd"/>
      <w:r w:rsidRPr="004420FD">
        <w:rPr>
          <w:rFonts w:ascii="Arial" w:eastAsia="Times New Roman" w:hAnsi="Arial" w:cs="David"/>
          <w:b/>
          <w:bCs/>
          <w:sz w:val="24"/>
          <w:szCs w:val="24"/>
          <w:rtl/>
        </w:rPr>
        <w:t xml:space="preserve"> היוונית קתולית נ' </w:t>
      </w:r>
      <w:proofErr w:type="spellStart"/>
      <w:r w:rsidRPr="004420FD">
        <w:rPr>
          <w:rFonts w:ascii="Arial" w:eastAsia="Times New Roman" w:hAnsi="Arial" w:cs="David"/>
          <w:b/>
          <w:bCs/>
          <w:sz w:val="24"/>
          <w:szCs w:val="24"/>
          <w:rtl/>
        </w:rPr>
        <w:t>נח'לה</w:t>
      </w:r>
      <w:proofErr w:type="spellEnd"/>
      <w:r w:rsidRPr="004420FD">
        <w:rPr>
          <w:rFonts w:ascii="Arial" w:eastAsia="Times New Roman" w:hAnsi="Arial" w:cs="David"/>
          <w:sz w:val="24"/>
          <w:szCs w:val="24"/>
          <w:rtl/>
        </w:rPr>
        <w:t xml:space="preserve">, פורסם במאגרים האלקטרוניים; רע"א 266/88 </w:t>
      </w:r>
      <w:r w:rsidRPr="004420FD">
        <w:rPr>
          <w:rFonts w:ascii="Arial" w:eastAsia="Times New Roman" w:hAnsi="Arial" w:cs="David"/>
          <w:b/>
          <w:bCs/>
          <w:sz w:val="24"/>
          <w:szCs w:val="24"/>
          <w:rtl/>
        </w:rPr>
        <w:t xml:space="preserve">סאן אינטרנשיונל </w:t>
      </w:r>
      <w:proofErr w:type="spellStart"/>
      <w:r w:rsidRPr="004420FD">
        <w:rPr>
          <w:rFonts w:ascii="Arial" w:eastAsia="Times New Roman" w:hAnsi="Arial" w:cs="David"/>
          <w:b/>
          <w:bCs/>
          <w:sz w:val="24"/>
          <w:szCs w:val="24"/>
          <w:rtl/>
        </w:rPr>
        <w:t>לימטיד</w:t>
      </w:r>
      <w:proofErr w:type="spellEnd"/>
      <w:r w:rsidRPr="004420FD">
        <w:rPr>
          <w:rFonts w:ascii="Arial" w:eastAsia="Times New Roman" w:hAnsi="Arial" w:cs="David"/>
          <w:b/>
          <w:bCs/>
          <w:sz w:val="24"/>
          <w:szCs w:val="24"/>
          <w:rtl/>
        </w:rPr>
        <w:t xml:space="preserve"> נ' מדינת ישראל</w:t>
      </w:r>
      <w:r w:rsidRPr="004420FD">
        <w:rPr>
          <w:rFonts w:ascii="Arial" w:eastAsia="Times New Roman" w:hAnsi="Arial" w:cs="David"/>
          <w:sz w:val="24"/>
          <w:szCs w:val="24"/>
          <w:rtl/>
        </w:rPr>
        <w:t>, פ"ד מד(2) 206</w:t>
      </w:r>
      <w:r w:rsidRPr="004420FD">
        <w:rPr>
          <w:rFonts w:ascii="David" w:eastAsia="Times New Roman" w:hAnsi="David" w:cs="David" w:hint="cs"/>
          <w:sz w:val="24"/>
          <w:szCs w:val="24"/>
          <w:rtl/>
        </w:rPr>
        <w:t>]</w:t>
      </w:r>
      <w:r w:rsidRPr="004420FD">
        <w:rPr>
          <w:rFonts w:ascii="David" w:eastAsia="Times New Roman" w:hAnsi="David" w:cs="David"/>
          <w:sz w:val="24"/>
          <w:szCs w:val="24"/>
          <w:rtl/>
        </w:rPr>
        <w:t xml:space="preserve">. ב-רע"א 867/17 </w:t>
      </w:r>
      <w:r w:rsidRPr="004420FD">
        <w:rPr>
          <w:rFonts w:ascii="David" w:eastAsia="Times New Roman" w:hAnsi="David" w:cs="David"/>
          <w:b/>
          <w:bCs/>
          <w:sz w:val="24"/>
          <w:szCs w:val="24"/>
          <w:rtl/>
        </w:rPr>
        <w:t xml:space="preserve">פנינת הצומת בע"מ נ' ש. שלמה מכירת רכב (2000) בע"מ </w:t>
      </w:r>
      <w:r w:rsidRPr="004420FD">
        <w:rPr>
          <w:rFonts w:ascii="David" w:eastAsia="Times New Roman" w:hAnsi="David" w:cs="David"/>
          <w:sz w:val="24"/>
          <w:szCs w:val="24"/>
          <w:rtl/>
        </w:rPr>
        <w:t>(פורסם במאגרים האלקטרוניים)</w:t>
      </w:r>
      <w:r w:rsidRPr="004420FD">
        <w:rPr>
          <w:rFonts w:ascii="David" w:eastAsia="Times New Roman" w:hAnsi="David" w:cs="David" w:hint="cs"/>
          <w:sz w:val="24"/>
          <w:szCs w:val="24"/>
          <w:rtl/>
        </w:rPr>
        <w:t xml:space="preserve"> קובע בית המשפט העליון</w:t>
      </w:r>
      <w:r w:rsidRPr="004420FD">
        <w:rPr>
          <w:rFonts w:ascii="David" w:eastAsia="Times New Roman" w:hAnsi="David" w:cs="David"/>
          <w:sz w:val="24"/>
          <w:szCs w:val="24"/>
          <w:rtl/>
        </w:rPr>
        <w:t>, תוך הפניה לדוגמאות מפסיקותיו, כי הלכה זו תקפה ביחס ל</w:t>
      </w:r>
      <w:r w:rsidRPr="004420FD">
        <w:rPr>
          <w:rFonts w:ascii="David" w:eastAsia="Times New Roman" w:hAnsi="David" w:cs="David" w:hint="cs"/>
          <w:sz w:val="24"/>
          <w:szCs w:val="24"/>
          <w:rtl/>
        </w:rPr>
        <w:t>כלל ה</w:t>
      </w:r>
      <w:r w:rsidRPr="004420FD">
        <w:rPr>
          <w:rFonts w:ascii="David" w:eastAsia="Times New Roman" w:hAnsi="David" w:cs="David"/>
          <w:sz w:val="24"/>
          <w:szCs w:val="24"/>
          <w:rtl/>
        </w:rPr>
        <w:t xml:space="preserve">החלטות </w:t>
      </w:r>
      <w:r w:rsidRPr="004420FD">
        <w:rPr>
          <w:rFonts w:ascii="David" w:eastAsia="Times New Roman" w:hAnsi="David" w:cs="David" w:hint="cs"/>
          <w:sz w:val="24"/>
          <w:szCs w:val="24"/>
          <w:rtl/>
        </w:rPr>
        <w:t>ב</w:t>
      </w:r>
      <w:r w:rsidRPr="004420FD">
        <w:rPr>
          <w:rFonts w:ascii="David" w:eastAsia="Times New Roman" w:hAnsi="David" w:cs="David"/>
          <w:sz w:val="24"/>
          <w:szCs w:val="24"/>
          <w:rtl/>
        </w:rPr>
        <w:t>סוגיות דיוניות-ניהוליות</w:t>
      </w:r>
      <w:r w:rsidRPr="004420FD">
        <w:rPr>
          <w:rFonts w:ascii="David" w:eastAsia="Times New Roman" w:hAnsi="David" w:cs="David" w:hint="cs"/>
          <w:sz w:val="24"/>
          <w:szCs w:val="24"/>
          <w:rtl/>
        </w:rPr>
        <w:t>.</w:t>
      </w:r>
    </w:p>
    <w:p w:rsidR="004420FD" w:rsidRPr="004420FD" w:rsidRDefault="004420FD" w:rsidP="004420FD">
      <w:pPr>
        <w:spacing w:after="0" w:line="360" w:lineRule="auto"/>
        <w:ind w:left="720"/>
        <w:contextualSpacing/>
        <w:jc w:val="both"/>
        <w:rPr>
          <w:rFonts w:ascii="Arial" w:eastAsia="Times New Roman" w:hAnsi="Arial" w:cs="David"/>
          <w:sz w:val="24"/>
          <w:szCs w:val="24"/>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tl/>
        </w:rPr>
      </w:pPr>
      <w:r w:rsidRPr="004420FD">
        <w:rPr>
          <w:rFonts w:ascii="Arial" w:eastAsia="Times New Roman" w:hAnsi="Arial" w:cs="David" w:hint="cs"/>
          <w:sz w:val="24"/>
          <w:szCs w:val="24"/>
          <w:rtl/>
        </w:rPr>
        <w:t>תפיסה נוספת שהשתרשה בפסיקה היא</w:t>
      </w:r>
      <w:r w:rsidRPr="004420FD">
        <w:rPr>
          <w:rFonts w:ascii="Arial" w:eastAsia="Times New Roman" w:hAnsi="Arial" w:cs="David"/>
          <w:sz w:val="24"/>
          <w:szCs w:val="24"/>
          <w:rtl/>
        </w:rPr>
        <w:t xml:space="preserve">, כי השגה על החלטת ביניים של הערכאה הדיונית (בענייננו -מכוח סעיף 52(ב) לחוק בתי המשפט, התשמ"ד-1984) דינה ככלל להתברר </w:t>
      </w:r>
      <w:r w:rsidRPr="004420FD">
        <w:rPr>
          <w:rFonts w:ascii="Arial" w:eastAsia="Times New Roman" w:hAnsi="Arial" w:cs="David"/>
          <w:sz w:val="24"/>
          <w:szCs w:val="24"/>
          <w:rtl/>
        </w:rPr>
        <w:lastRenderedPageBreak/>
        <w:t xml:space="preserve">במסגרת הערעור על פסק הדין. התערבות ערכאת הערעור בהחלטת ביניים תעשה, אם כן, במשורה במקרים בהם היא עשויה להשפיע מהותית על זכויות בעל הדין, לגרום נזק ממשי או לגרום לקיומו של הליך שגוי או מיותר </w:t>
      </w:r>
      <w:r w:rsidRPr="004420FD">
        <w:rPr>
          <w:rFonts w:ascii="Arial" w:eastAsia="Times New Roman" w:hAnsi="Arial" w:cs="David" w:hint="cs"/>
          <w:sz w:val="24"/>
          <w:szCs w:val="24"/>
          <w:rtl/>
        </w:rPr>
        <w:t>[</w:t>
      </w:r>
      <w:r w:rsidRPr="004420FD">
        <w:rPr>
          <w:rFonts w:ascii="Arial" w:eastAsia="Times New Roman" w:hAnsi="Arial" w:cs="David"/>
          <w:sz w:val="24"/>
          <w:szCs w:val="24"/>
          <w:rtl/>
        </w:rPr>
        <w:t xml:space="preserve">רע"א 1665/15 </w:t>
      </w:r>
      <w:r w:rsidRPr="004420FD">
        <w:rPr>
          <w:rFonts w:ascii="Arial" w:eastAsia="Times New Roman" w:hAnsi="Arial" w:cs="David"/>
          <w:b/>
          <w:bCs/>
          <w:sz w:val="24"/>
          <w:szCs w:val="24"/>
          <w:rtl/>
        </w:rPr>
        <w:t>אטיאס נ' רוסו</w:t>
      </w:r>
      <w:r w:rsidRPr="004420FD">
        <w:rPr>
          <w:rFonts w:ascii="Arial" w:eastAsia="Times New Roman" w:hAnsi="Arial" w:cs="David"/>
          <w:sz w:val="24"/>
          <w:szCs w:val="24"/>
          <w:rtl/>
        </w:rPr>
        <w:t xml:space="preserve">, פורסם במאגרים האלקטרוניים; רע"א 6830/15 </w:t>
      </w:r>
      <w:r w:rsidRPr="004420FD">
        <w:rPr>
          <w:rFonts w:ascii="Arial" w:eastAsia="Times New Roman" w:hAnsi="Arial" w:cs="David"/>
          <w:b/>
          <w:bCs/>
          <w:sz w:val="24"/>
          <w:szCs w:val="24"/>
          <w:rtl/>
        </w:rPr>
        <w:t>פלוני נ' פלונית</w:t>
      </w:r>
      <w:r w:rsidRPr="004420FD">
        <w:rPr>
          <w:rFonts w:ascii="Arial" w:eastAsia="Times New Roman" w:hAnsi="Arial" w:cs="David"/>
          <w:sz w:val="24"/>
          <w:szCs w:val="24"/>
          <w:rtl/>
        </w:rPr>
        <w:t>, פורסם במאגרים האלקטרוניים</w:t>
      </w:r>
      <w:r w:rsidRPr="004420FD">
        <w:rPr>
          <w:rFonts w:ascii="Arial" w:eastAsia="Times New Roman" w:hAnsi="Arial" w:cs="David" w:hint="cs"/>
          <w:sz w:val="24"/>
          <w:szCs w:val="24"/>
          <w:rtl/>
        </w:rPr>
        <w:t>]</w:t>
      </w:r>
      <w:r w:rsidRPr="004420FD">
        <w:rPr>
          <w:rFonts w:ascii="Arial" w:eastAsia="Times New Roman" w:hAnsi="Arial" w:cs="David"/>
          <w:sz w:val="24"/>
          <w:szCs w:val="24"/>
          <w:rtl/>
        </w:rPr>
        <w:t>.</w:t>
      </w:r>
    </w:p>
    <w:p w:rsidR="004420FD" w:rsidRPr="004420FD" w:rsidRDefault="004420FD" w:rsidP="004420FD">
      <w:pPr>
        <w:spacing w:after="0" w:line="240" w:lineRule="auto"/>
        <w:ind w:left="720"/>
        <w:contextualSpacing/>
        <w:rPr>
          <w:rFonts w:ascii="Arial" w:eastAsia="Times New Roman" w:hAnsi="Arial" w:cs="David"/>
          <w:sz w:val="24"/>
          <w:szCs w:val="24"/>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 xml:space="preserve">אף שלא נעלמו מעיניי טענות המבקשים בעניין הפגיעה בזכויותיהם הדיוניות </w:t>
      </w:r>
      <w:proofErr w:type="spellStart"/>
      <w:r w:rsidRPr="004420FD">
        <w:rPr>
          <w:rFonts w:ascii="Arial" w:eastAsia="Times New Roman" w:hAnsi="Arial" w:cs="David" w:hint="cs"/>
          <w:sz w:val="24"/>
          <w:szCs w:val="24"/>
          <w:rtl/>
        </w:rPr>
        <w:t>ונפקותה</w:t>
      </w:r>
      <w:proofErr w:type="spellEnd"/>
      <w:r w:rsidRPr="004420FD">
        <w:rPr>
          <w:rFonts w:ascii="Arial" w:eastAsia="Times New Roman" w:hAnsi="Arial" w:cs="David" w:hint="cs"/>
          <w:sz w:val="24"/>
          <w:szCs w:val="24"/>
          <w:rtl/>
        </w:rPr>
        <w:t xml:space="preserve"> ומבלי להכריע בהן או להביע עמדה, לא מצאתי, כי המקרה דנא בא בגדר החריגים לכללים האמורים. </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 xml:space="preserve">כאמור, המחלוקות בין הצדדים נסובות סביב ההסכם </w:t>
      </w:r>
      <w:r w:rsidRPr="004420FD">
        <w:rPr>
          <w:rFonts w:ascii="Arial" w:eastAsia="Times New Roman" w:hAnsi="Arial" w:cs="David"/>
          <w:sz w:val="24"/>
          <w:szCs w:val="24"/>
          <w:rtl/>
        </w:rPr>
        <w:t>–</w:t>
      </w:r>
      <w:r w:rsidRPr="004420FD">
        <w:rPr>
          <w:rFonts w:ascii="Arial" w:eastAsia="Times New Roman" w:hAnsi="Arial" w:cs="David" w:hint="cs"/>
          <w:sz w:val="24"/>
          <w:szCs w:val="24"/>
          <w:rtl/>
        </w:rPr>
        <w:t xml:space="preserve"> פרשנותו ויישום </w:t>
      </w:r>
      <w:proofErr w:type="spellStart"/>
      <w:r w:rsidRPr="004420FD">
        <w:rPr>
          <w:rFonts w:ascii="Arial" w:eastAsia="Times New Roman" w:hAnsi="Arial" w:cs="David" w:hint="cs"/>
          <w:sz w:val="24"/>
          <w:szCs w:val="24"/>
          <w:rtl/>
        </w:rPr>
        <w:t>תניותיו</w:t>
      </w:r>
      <w:proofErr w:type="spellEnd"/>
      <w:r w:rsidRPr="004420FD">
        <w:rPr>
          <w:rFonts w:ascii="Arial" w:eastAsia="Times New Roman" w:hAnsi="Arial" w:cs="David" w:hint="cs"/>
          <w:sz w:val="24"/>
          <w:szCs w:val="24"/>
          <w:rtl/>
        </w:rPr>
        <w:t>.</w:t>
      </w:r>
    </w:p>
    <w:p w:rsidR="004420FD" w:rsidRPr="004420FD" w:rsidRDefault="004420FD" w:rsidP="004420FD">
      <w:pPr>
        <w:spacing w:after="0" w:line="360" w:lineRule="auto"/>
        <w:ind w:left="720"/>
        <w:contextualSpacing/>
        <w:jc w:val="both"/>
        <w:rPr>
          <w:rFonts w:ascii="Arial" w:eastAsia="Times New Roman" w:hAnsi="Arial" w:cs="David"/>
          <w:sz w:val="24"/>
          <w:szCs w:val="24"/>
        </w:rPr>
      </w:pPr>
      <w:r w:rsidRPr="004420FD">
        <w:rPr>
          <w:rFonts w:ascii="Arial" w:eastAsia="Times New Roman" w:hAnsi="Arial" w:cs="David" w:hint="cs"/>
          <w:sz w:val="24"/>
          <w:szCs w:val="24"/>
          <w:rtl/>
        </w:rPr>
        <w:t xml:space="preserve"> </w:t>
      </w: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 xml:space="preserve">בסעיף 6.2 בהסכם נקבע, כי בכל מקרה של סכסוך או מחלוקת שיתגלעו בין הצדדים בעניין יישום ההסכם ו/או ניהול החברה עד לפירוקה, יפנו הצדדים להליך גישור בפני מגשר שזהותו נקבעה על ידם מראש, וככל שהגישור לא יישא פרי, ימנה בית המשפט, בהתאם לפניית הצדדים או מי מהם, דירקטור מכריע שיכריע בסכסוך ו/או במחלוקת ביניהם. </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ואכן, כידוע, עיקר המחלוקות בין הצדדים הוכרעו ע"י הדירקטור המכריע שמונה ע"י בית המשפט.</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 xml:space="preserve">כפי שצוין לעיל, הבקשה דנא נסובה סביב הכרעת הדירקטור המכריע באחת המחלוקות שהונחו לפתחו (הנשיאה בהיטל </w:t>
      </w:r>
      <w:proofErr w:type="spellStart"/>
      <w:r w:rsidRPr="004420FD">
        <w:rPr>
          <w:rFonts w:ascii="Arial" w:eastAsia="Times New Roman" w:hAnsi="Arial" w:cs="David" w:hint="cs"/>
          <w:sz w:val="24"/>
          <w:szCs w:val="24"/>
          <w:rtl/>
        </w:rPr>
        <w:t>השצ"פ</w:t>
      </w:r>
      <w:proofErr w:type="spellEnd"/>
      <w:r w:rsidRPr="004420FD">
        <w:rPr>
          <w:rFonts w:ascii="Arial" w:eastAsia="Times New Roman" w:hAnsi="Arial" w:cs="David" w:hint="cs"/>
          <w:sz w:val="24"/>
          <w:szCs w:val="24"/>
          <w:rtl/>
        </w:rPr>
        <w:t xml:space="preserve">), שהמבקשים משיגים עליה. </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 xml:space="preserve">מעיון בתיק המתנהל בבית המשפט קמא עולה, כי הגם שהמבקשים שבו ופנו לבית המשפט בבקשות רבות ושונות מאז מונה הדירקטור המכריע, עת נהיר כי הם חפצים בקבלת הכרעה בסוגיות שנותרו במחלוקת בהקדם האפשרי (הדבר נלמד מבקשותיהם ומפרוטוקול הדיון מיום 18.05.2023), לא הוזכר על ידם דבר וחצי דבר בעניין הכרעת הדירקטור המכריע בשאלת הנשיאה בהיטל </w:t>
      </w:r>
      <w:proofErr w:type="spellStart"/>
      <w:r w:rsidRPr="004420FD">
        <w:rPr>
          <w:rFonts w:ascii="Arial" w:eastAsia="Times New Roman" w:hAnsi="Arial" w:cs="David" w:hint="cs"/>
          <w:sz w:val="24"/>
          <w:szCs w:val="24"/>
          <w:rtl/>
        </w:rPr>
        <w:t>השצ"פ</w:t>
      </w:r>
      <w:proofErr w:type="spellEnd"/>
      <w:r w:rsidRPr="004420FD">
        <w:rPr>
          <w:rFonts w:ascii="Arial" w:eastAsia="Times New Roman" w:hAnsi="Arial" w:cs="David" w:hint="cs"/>
          <w:sz w:val="24"/>
          <w:szCs w:val="24"/>
          <w:rtl/>
        </w:rPr>
        <w:t xml:space="preserve">, והם עוררו העניין רק לאחר שבית המשפט נעתר לבקשת המשיבים להשלמת ההחלטה מיום 19.05.2023, הגם שאין מקום להקיש מעניין אחד למשנהו. יוזכר, כי ההחלטה ניתנה בהמשך לדיון מיום 18.05.2023 לאחר שנשמעו טענות הצדדים והדירקטור המכריע. דיון זה לא שימש כישיבת קדם משפט שתכליתה הגדרת </w:t>
      </w:r>
      <w:proofErr w:type="spellStart"/>
      <w:r w:rsidRPr="004420FD">
        <w:rPr>
          <w:rFonts w:ascii="Arial" w:eastAsia="Times New Roman" w:hAnsi="Arial" w:cs="David" w:hint="cs"/>
          <w:sz w:val="24"/>
          <w:szCs w:val="24"/>
          <w:rtl/>
        </w:rPr>
        <w:t>הפלוגתאות</w:t>
      </w:r>
      <w:proofErr w:type="spellEnd"/>
      <w:r w:rsidRPr="004420FD">
        <w:rPr>
          <w:rFonts w:ascii="Arial" w:eastAsia="Times New Roman" w:hAnsi="Arial" w:cs="David" w:hint="cs"/>
          <w:sz w:val="24"/>
          <w:szCs w:val="24"/>
          <w:rtl/>
        </w:rPr>
        <w:t xml:space="preserve"> בהליך, כי אם ישיבה שנקבעה לשם הכרעה במחלוקות שלא הוכרעו ע"י הדירקטור המכריע, בהתאם לבקשתו ומנימוקיה. סוגיית המועד הקובע לחישוב תוספת הריבית עלתה במסגרת הדיון, ואכן נראה, כי בשוגג נשמטה מן ההחלטה, וברי כי היא שנויה במחלוקת ולא הוכרעה ע"י הדירקטור המכריע. לפיכך, טענת המבקשים תוך ניסיון לגזור גזרה שווה מעניין זה לעניין הנשיאה בהיטל </w:t>
      </w:r>
      <w:proofErr w:type="spellStart"/>
      <w:r w:rsidRPr="004420FD">
        <w:rPr>
          <w:rFonts w:ascii="Arial" w:eastAsia="Times New Roman" w:hAnsi="Arial" w:cs="David" w:hint="cs"/>
          <w:sz w:val="24"/>
          <w:szCs w:val="24"/>
          <w:rtl/>
        </w:rPr>
        <w:t>השצ"פ</w:t>
      </w:r>
      <w:proofErr w:type="spellEnd"/>
      <w:r w:rsidRPr="004420FD">
        <w:rPr>
          <w:rFonts w:ascii="Arial" w:eastAsia="Times New Roman" w:hAnsi="Arial" w:cs="David" w:hint="cs"/>
          <w:sz w:val="24"/>
          <w:szCs w:val="24"/>
          <w:rtl/>
        </w:rPr>
        <w:t xml:space="preserve"> (שכאמור הוכרע ע"י הדירקטור המכריע) אין לה על מה שתסמוך, ומוטב היה אלמלא נטענה.  </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זאת ועוד, מעיון בפרוטוקול הדיון מיום 18.01.2023 עולה, כי הוסכם בין הצדדים שככל שלמי מהם תהיינה השגות על הכרעת הדירקטור המכריע, הן תובאנה לפניו הוא יכריע גם בהן.</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spacing w:after="0" w:line="360" w:lineRule="auto"/>
        <w:ind w:left="720"/>
        <w:contextualSpacing/>
        <w:jc w:val="both"/>
        <w:rPr>
          <w:rFonts w:ascii="Arial" w:eastAsia="Times New Roman" w:hAnsi="Arial" w:cs="David"/>
          <w:sz w:val="24"/>
          <w:szCs w:val="24"/>
          <w:rtl/>
        </w:rPr>
      </w:pPr>
      <w:r w:rsidRPr="004420FD">
        <w:rPr>
          <w:rFonts w:ascii="Arial" w:eastAsia="Times New Roman" w:hAnsi="Arial" w:cs="David" w:hint="cs"/>
          <w:sz w:val="24"/>
          <w:szCs w:val="24"/>
          <w:rtl/>
        </w:rPr>
        <w:lastRenderedPageBreak/>
        <w:t xml:space="preserve">משכך, לא ברור כלל פשר ניסיון המבקשים לעתור לקבלת הכרעה שיפוטית במחלוקת שכבר הוכרעה ע"י הגורם שהוסמך לכך כדין. לא מן הנמנע, כי הדירקטור המכריע לא נדרש להשגות המבקשים בעניין, ברם הדרך להתמודד עם זאת איננה בניסיון להכניס להכרעה השיפוטית הסוגיה האמורה ב"דלת האחורית" וחרף גבולות הגזרה ששורטטו ע"י הערכאה הדיונית.        </w:t>
      </w:r>
    </w:p>
    <w:p w:rsidR="004420FD" w:rsidRPr="004420FD" w:rsidRDefault="004420FD" w:rsidP="004420FD">
      <w:pPr>
        <w:spacing w:after="0" w:line="360" w:lineRule="auto"/>
        <w:ind w:left="720"/>
        <w:contextualSpacing/>
        <w:jc w:val="both"/>
        <w:rPr>
          <w:rFonts w:ascii="Arial" w:eastAsia="Times New Roman" w:hAnsi="Arial" w:cs="David"/>
          <w:sz w:val="24"/>
          <w:szCs w:val="24"/>
          <w:rtl/>
        </w:rPr>
      </w:pPr>
    </w:p>
    <w:p w:rsidR="004420FD" w:rsidRPr="004420FD" w:rsidRDefault="004420FD" w:rsidP="004420FD">
      <w:pPr>
        <w:spacing w:after="0" w:line="360" w:lineRule="auto"/>
        <w:ind w:left="720"/>
        <w:contextualSpacing/>
        <w:jc w:val="both"/>
        <w:rPr>
          <w:rFonts w:ascii="Arial" w:eastAsia="Times New Roman" w:hAnsi="Arial" w:cs="David"/>
          <w:sz w:val="24"/>
          <w:szCs w:val="24"/>
        </w:rPr>
      </w:pPr>
      <w:r w:rsidRPr="004420FD">
        <w:rPr>
          <w:rFonts w:ascii="Arial" w:eastAsia="Times New Roman" w:hAnsi="Arial" w:cs="David" w:hint="cs"/>
          <w:sz w:val="24"/>
          <w:szCs w:val="24"/>
          <w:rtl/>
        </w:rPr>
        <w:t>לכל היותר רשאים הם לפנות לבית המשפט בבקשה מתאימה למתן הוראות לדירקטור המכריע שיידרש להשגה שהוגשה על ידם.</w:t>
      </w:r>
    </w:p>
    <w:p w:rsidR="004420FD" w:rsidRPr="004420FD" w:rsidRDefault="004420FD" w:rsidP="004420FD">
      <w:pPr>
        <w:spacing w:after="0" w:line="360" w:lineRule="auto"/>
        <w:ind w:left="720"/>
        <w:contextualSpacing/>
        <w:jc w:val="both"/>
        <w:rPr>
          <w:rFonts w:ascii="Arial" w:eastAsia="Times New Roman" w:hAnsi="Arial" w:cs="David"/>
          <w:sz w:val="24"/>
          <w:szCs w:val="24"/>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 xml:space="preserve">הנה כי כן, בשים לב למהות הדיון שהתקיים ביום 18.05.2023, תוכנו, הרקע לקיומו ויתר הנסיבות, באשר פורטו בקליפת אגוז לעיל, אין בהחלטה שניתנה בעקבותיו למחרת היום משום גרימת עיוות דין למבקשים או פגיעה בזכויותיהם הדיוניות.   </w:t>
      </w:r>
    </w:p>
    <w:p w:rsidR="004420FD" w:rsidRPr="004420FD" w:rsidRDefault="004420FD" w:rsidP="004420FD">
      <w:pPr>
        <w:spacing w:after="0" w:line="360" w:lineRule="auto"/>
        <w:ind w:left="720"/>
        <w:contextualSpacing/>
        <w:jc w:val="both"/>
        <w:rPr>
          <w:rFonts w:ascii="Arial" w:eastAsia="Times New Roman" w:hAnsi="Arial" w:cs="David"/>
          <w:sz w:val="24"/>
          <w:szCs w:val="24"/>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לפיכך, וגם אם הנימוק לדחיית בקשת המבקשים שונה במשהו מזה שהובא על ידי בית המשפט קמא בהחלטה מיום 31.05.2023, והיא איננה נשענת על הסדר דיוני כזה או אחר אלא על השתלשלות העניינים בהליך, על נסיבות המקרה ועל ההחלטות הקודמות שניתנו,  אין מקום להתערב בה, הן מעצם טיבה כהחלטה דיונית, כאמור, והן לגוף העניין.</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Arial" w:eastAsia="Times New Roman" w:hAnsi="Arial" w:cs="David" w:hint="cs"/>
          <w:sz w:val="24"/>
          <w:szCs w:val="24"/>
          <w:rtl/>
        </w:rPr>
        <w:t>בנוסף לאמור, והיות שהבקשה דנא מכוונת כנגד ההחלטה מיום 06.07.2023 על פיה נדחתה, כאמור, בקשת המבקשים לעיון מחדש בהחלטה מיום 31.05.2023, נזכיר את שנקבע ע"י מותב זה ב-</w:t>
      </w:r>
      <w:proofErr w:type="spellStart"/>
      <w:r w:rsidRPr="004420FD">
        <w:rPr>
          <w:rFonts w:ascii="Arial" w:eastAsia="Times New Roman" w:hAnsi="Arial" w:cs="David" w:hint="cs"/>
          <w:sz w:val="24"/>
          <w:szCs w:val="24"/>
          <w:rtl/>
        </w:rPr>
        <w:t>רמ"ש</w:t>
      </w:r>
      <w:proofErr w:type="spellEnd"/>
      <w:r w:rsidRPr="004420FD">
        <w:rPr>
          <w:rFonts w:ascii="Arial" w:eastAsia="Times New Roman" w:hAnsi="Arial" w:cs="David" w:hint="cs"/>
          <w:sz w:val="24"/>
          <w:szCs w:val="24"/>
          <w:rtl/>
        </w:rPr>
        <w:t xml:space="preserve"> 67437-02-23 </w:t>
      </w:r>
      <w:r w:rsidRPr="004420FD">
        <w:rPr>
          <w:rFonts w:ascii="Arial" w:eastAsia="Times New Roman" w:hAnsi="Arial" w:cs="David" w:hint="cs"/>
          <w:b/>
          <w:bCs/>
          <w:sz w:val="24"/>
          <w:szCs w:val="24"/>
          <w:rtl/>
        </w:rPr>
        <w:t xml:space="preserve">פלונית נ' פלוני </w:t>
      </w:r>
      <w:r w:rsidRPr="004420FD">
        <w:rPr>
          <w:rFonts w:ascii="Arial" w:eastAsia="Times New Roman" w:hAnsi="Arial" w:cs="David" w:hint="cs"/>
          <w:sz w:val="24"/>
          <w:szCs w:val="24"/>
          <w:rtl/>
        </w:rPr>
        <w:t>(פורסם במאגרים האלקטרוניים) ומוזכר גם בהחלטת בית המשפט קמא - על מדיניות משפטית ראויה למנוע השימוש בהליך העיון מחדש כ"מסלול עוקף" ערעור.</w:t>
      </w:r>
    </w:p>
    <w:p w:rsidR="004420FD" w:rsidRPr="004420FD" w:rsidRDefault="004420FD" w:rsidP="004420FD">
      <w:pPr>
        <w:spacing w:after="0" w:line="360" w:lineRule="auto"/>
        <w:ind w:left="720"/>
        <w:contextualSpacing/>
        <w:jc w:val="both"/>
        <w:rPr>
          <w:rFonts w:ascii="Arial" w:eastAsia="Times New Roman" w:hAnsi="Arial" w:cs="David"/>
          <w:sz w:val="24"/>
          <w:szCs w:val="24"/>
          <w:rtl/>
        </w:rPr>
      </w:pPr>
    </w:p>
    <w:p w:rsidR="004420FD" w:rsidRPr="004420FD" w:rsidRDefault="004420FD" w:rsidP="004420FD">
      <w:pPr>
        <w:spacing w:after="0" w:line="360" w:lineRule="auto"/>
        <w:ind w:left="720"/>
        <w:contextualSpacing/>
        <w:jc w:val="both"/>
        <w:rPr>
          <w:rFonts w:ascii="Arial" w:eastAsia="Times New Roman" w:hAnsi="Arial" w:cs="David"/>
          <w:noProof/>
          <w:sz w:val="24"/>
          <w:szCs w:val="24"/>
          <w:rtl/>
        </w:rPr>
      </w:pPr>
      <w:r w:rsidRPr="004420FD">
        <w:rPr>
          <w:rFonts w:ascii="Arial" w:eastAsia="Times New Roman" w:hAnsi="Arial" w:cs="David" w:hint="cs"/>
          <w:sz w:val="24"/>
          <w:szCs w:val="24"/>
          <w:rtl/>
        </w:rPr>
        <w:t xml:space="preserve">אף שבתקנות סדר הדין האזרחי מוסדר הליך של עיון מחדש בהתייחס </w:t>
      </w:r>
      <w:proofErr w:type="spellStart"/>
      <w:r w:rsidRPr="004420FD">
        <w:rPr>
          <w:rFonts w:ascii="Arial" w:eastAsia="Times New Roman" w:hAnsi="Arial" w:cs="David" w:hint="cs"/>
          <w:sz w:val="24"/>
          <w:szCs w:val="24"/>
          <w:rtl/>
        </w:rPr>
        <w:t>לסעדים</w:t>
      </w:r>
      <w:proofErr w:type="spellEnd"/>
      <w:r w:rsidRPr="004420FD">
        <w:rPr>
          <w:rFonts w:ascii="Arial" w:eastAsia="Times New Roman" w:hAnsi="Arial" w:cs="David" w:hint="cs"/>
          <w:sz w:val="24"/>
          <w:szCs w:val="24"/>
          <w:rtl/>
        </w:rPr>
        <w:t xml:space="preserve"> זמניים בלבד, השתרש בפסיקה הישראלית עם הזמן </w:t>
      </w:r>
      <w:r w:rsidRPr="004420FD">
        <w:rPr>
          <w:rFonts w:ascii="Arial" w:eastAsia="Times New Roman" w:hAnsi="Arial" w:cs="David"/>
          <w:sz w:val="24"/>
          <w:szCs w:val="24"/>
          <w:rtl/>
        </w:rPr>
        <w:t xml:space="preserve">הכלל לפיו הערכאה הדיונית עשויה להידרש שוב להחלטותיה ככל שחל שינוי נסיבות מהותי לאחר </w:t>
      </w:r>
      <w:r w:rsidRPr="004420FD">
        <w:rPr>
          <w:rFonts w:ascii="Arial" w:eastAsia="Times New Roman" w:hAnsi="Arial" w:cs="David" w:hint="cs"/>
          <w:sz w:val="24"/>
          <w:szCs w:val="24"/>
          <w:rtl/>
        </w:rPr>
        <w:t>מתן</w:t>
      </w:r>
      <w:r w:rsidRPr="004420FD">
        <w:rPr>
          <w:rFonts w:ascii="Arial" w:eastAsia="Times New Roman" w:hAnsi="Arial" w:cs="David"/>
          <w:sz w:val="24"/>
          <w:szCs w:val="24"/>
          <w:rtl/>
        </w:rPr>
        <w:t xml:space="preserve"> ההחלטה המקורית או כאשר התברר לה שנפלה </w:t>
      </w:r>
      <w:r w:rsidRPr="004420FD">
        <w:rPr>
          <w:rFonts w:ascii="Arial" w:eastAsia="Times New Roman" w:hAnsi="Arial" w:cs="David" w:hint="cs"/>
          <w:sz w:val="24"/>
          <w:szCs w:val="24"/>
          <w:rtl/>
        </w:rPr>
        <w:t xml:space="preserve">בה </w:t>
      </w:r>
      <w:r w:rsidRPr="004420FD">
        <w:rPr>
          <w:rFonts w:ascii="Arial" w:eastAsia="Times New Roman" w:hAnsi="Arial" w:cs="David"/>
          <w:sz w:val="24"/>
          <w:szCs w:val="24"/>
          <w:rtl/>
        </w:rPr>
        <w:t>טעות טכנית</w:t>
      </w:r>
      <w:r w:rsidRPr="004420FD">
        <w:rPr>
          <w:rFonts w:ascii="Arial" w:eastAsia="Times New Roman" w:hAnsi="Arial" w:cs="David" w:hint="cs"/>
          <w:noProof/>
          <w:sz w:val="24"/>
          <w:szCs w:val="24"/>
          <w:rtl/>
        </w:rPr>
        <w:t>.</w:t>
      </w:r>
    </w:p>
    <w:p w:rsidR="004420FD" w:rsidRPr="004420FD" w:rsidRDefault="004420FD" w:rsidP="004420FD">
      <w:pPr>
        <w:spacing w:after="0" w:line="240" w:lineRule="auto"/>
        <w:ind w:left="720"/>
        <w:contextualSpacing/>
        <w:rPr>
          <w:rFonts w:ascii="David" w:eastAsia="Times New Roman" w:hAnsi="David" w:cs="David"/>
          <w:sz w:val="24"/>
          <w:szCs w:val="24"/>
          <w:rtl/>
        </w:rPr>
      </w:pPr>
    </w:p>
    <w:p w:rsidR="004420FD" w:rsidRPr="004420FD" w:rsidRDefault="004420FD" w:rsidP="004420FD">
      <w:pPr>
        <w:spacing w:after="0" w:line="360" w:lineRule="auto"/>
        <w:ind w:left="720"/>
        <w:contextualSpacing/>
        <w:jc w:val="both"/>
        <w:rPr>
          <w:rFonts w:ascii="David" w:eastAsia="Times New Roman" w:hAnsi="David" w:cs="David"/>
          <w:sz w:val="24"/>
          <w:szCs w:val="24"/>
          <w:rtl/>
        </w:rPr>
      </w:pPr>
      <w:r w:rsidRPr="004420FD">
        <w:rPr>
          <w:rFonts w:ascii="David" w:eastAsia="Times New Roman" w:hAnsi="David" w:cs="David" w:hint="cs"/>
          <w:sz w:val="24"/>
          <w:szCs w:val="24"/>
          <w:rtl/>
        </w:rPr>
        <w:t xml:space="preserve">צא ולמד, כי גם עיון מחדש בהחלטת ביניים שמור למקרים חריגים, זאת בין השאר, לשם הגנה על עקרונות יסוד בשיטתנו המשפטית, ובהם מניעת שימוש לרעה בהליכי משפט וסרבול שלהם, קיום הליך הוגן והגנה על האינטרס הציבורי ומשאביו ובהם זמן השיפוט.  </w:t>
      </w:r>
    </w:p>
    <w:p w:rsidR="004420FD" w:rsidRPr="004420FD" w:rsidRDefault="004420FD" w:rsidP="004420FD">
      <w:pPr>
        <w:spacing w:after="0" w:line="360" w:lineRule="auto"/>
        <w:ind w:left="720"/>
        <w:contextualSpacing/>
        <w:jc w:val="both"/>
        <w:rPr>
          <w:rFonts w:ascii="David" w:eastAsia="Times New Roman" w:hAnsi="David" w:cs="David"/>
          <w:sz w:val="24"/>
          <w:szCs w:val="24"/>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rPr>
      </w:pPr>
      <w:r w:rsidRPr="004420FD">
        <w:rPr>
          <w:rFonts w:ascii="David" w:eastAsia="Times New Roman" w:hAnsi="David" w:cs="David" w:hint="cs"/>
          <w:sz w:val="24"/>
          <w:szCs w:val="24"/>
          <w:rtl/>
        </w:rPr>
        <w:t xml:space="preserve">בנסיבות המקרה דנא לא הייתה למבקשים כל עילה להגשת הבקשה לעיון מחדש, ובדין היא נדחתה. </w:t>
      </w:r>
    </w:p>
    <w:p w:rsidR="004420FD" w:rsidRPr="004420FD" w:rsidRDefault="004420FD" w:rsidP="004420FD">
      <w:pPr>
        <w:spacing w:after="0" w:line="240" w:lineRule="auto"/>
        <w:ind w:left="720"/>
        <w:contextualSpacing/>
        <w:jc w:val="both"/>
        <w:rPr>
          <w:rFonts w:ascii="David" w:eastAsia="Times New Roman" w:hAnsi="David" w:cs="David"/>
          <w:sz w:val="24"/>
          <w:szCs w:val="24"/>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rPr>
      </w:pPr>
      <w:r w:rsidRPr="004420FD">
        <w:rPr>
          <w:rFonts w:ascii="David" w:eastAsia="Times New Roman" w:hAnsi="David" w:cs="David" w:hint="cs"/>
          <w:sz w:val="24"/>
          <w:szCs w:val="24"/>
          <w:rtl/>
        </w:rPr>
        <w:t>ודוק, כפי שהובהר לעיל, לא מצאתי שנמנעה מהמבקשים האפשרות להביא בפני בית המשפט איזו מטענותיהם, ההפך הוא הנכון. הגם שאצה להם הדרך לקבלת פסק דין ולהכרעה מהירה בנושאים הבודדים שטרם הוכרעו ע"י הדירקטור המכריע, בית המשפט נדרש לטענותיהם, קיים דיונים מספר בהליך ואף ניתנה לצדדים הזכות להשלים בכתב טיעוניהם בעניינים האמורים.</w:t>
      </w:r>
    </w:p>
    <w:p w:rsidR="004420FD" w:rsidRPr="004420FD" w:rsidRDefault="004420FD" w:rsidP="004420FD">
      <w:pPr>
        <w:spacing w:after="0" w:line="240" w:lineRule="auto"/>
        <w:ind w:left="720"/>
        <w:contextualSpacing/>
        <w:rPr>
          <w:rFonts w:ascii="David" w:eastAsia="Times New Roman" w:hAnsi="David" w:cs="David"/>
          <w:sz w:val="24"/>
          <w:szCs w:val="24"/>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rPr>
      </w:pPr>
      <w:r w:rsidRPr="004420FD">
        <w:rPr>
          <w:rFonts w:ascii="David" w:eastAsia="Times New Roman" w:hAnsi="David" w:cs="David" w:hint="cs"/>
          <w:sz w:val="24"/>
          <w:szCs w:val="24"/>
          <w:rtl/>
        </w:rPr>
        <w:t xml:space="preserve">נהיר, כי היה בידי המבקשים לנקוט בהליך ערעורי כנגד ההחלטה מיום 31.05.2023, אך הם לא עשו כן והמועד לערער עליה חלף כמובן. </w:t>
      </w:r>
    </w:p>
    <w:p w:rsidR="004420FD" w:rsidRPr="004420FD" w:rsidRDefault="004420FD" w:rsidP="004420FD">
      <w:pPr>
        <w:spacing w:after="0" w:line="240" w:lineRule="auto"/>
        <w:ind w:left="720"/>
        <w:contextualSpacing/>
        <w:rPr>
          <w:rFonts w:ascii="David" w:eastAsia="Times New Roman" w:hAnsi="David"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Pr>
      </w:pPr>
      <w:r w:rsidRPr="004420FD">
        <w:rPr>
          <w:rFonts w:ascii="David" w:eastAsia="Times New Roman" w:hAnsi="David" w:cs="David" w:hint="cs"/>
          <w:sz w:val="24"/>
          <w:szCs w:val="24"/>
          <w:rtl/>
        </w:rPr>
        <w:t xml:space="preserve">כך או כך, ועל מנת </w:t>
      </w:r>
      <w:proofErr w:type="spellStart"/>
      <w:r w:rsidRPr="004420FD">
        <w:rPr>
          <w:rFonts w:ascii="David" w:eastAsia="Times New Roman" w:hAnsi="David" w:cs="David" w:hint="cs"/>
          <w:sz w:val="24"/>
          <w:szCs w:val="24"/>
          <w:rtl/>
        </w:rPr>
        <w:t>להפיס</w:t>
      </w:r>
      <w:proofErr w:type="spellEnd"/>
      <w:r w:rsidRPr="004420FD">
        <w:rPr>
          <w:rFonts w:ascii="David" w:eastAsia="Times New Roman" w:hAnsi="David" w:cs="David" w:hint="cs"/>
          <w:sz w:val="24"/>
          <w:szCs w:val="24"/>
          <w:rtl/>
        </w:rPr>
        <w:t xml:space="preserve"> דעתם הובאו הדברים דלעיל, שעה שדחיית הבקשה להרחבת היקף הנושאים בהם נדרשת הכרעה שיפוטית באשר הוגדרו ע"י בית המשפט קמא, לא זו בלבד שהיא נטועה במרחב שיקול הדעת שלו, היא אף עולה בקנה אחד עם השתלשלות העניינים בהליך, עם החלטותיו הקודמות ועם המסד העובדתי שעליו הן נשענות.  </w:t>
      </w:r>
      <w:r w:rsidRPr="004420FD">
        <w:rPr>
          <w:rFonts w:ascii="Arial" w:eastAsia="Times New Roman" w:hAnsi="Arial" w:cs="David" w:hint="cs"/>
          <w:sz w:val="24"/>
          <w:szCs w:val="24"/>
          <w:rtl/>
        </w:rPr>
        <w:t xml:space="preserve">זאת ועוד, העתרות לבקשת המבקשים אכן תוביל להתדיינות מחודשת בהליך, חרף ההחלטות שניתנו במסגרתו, לרבות בעניין סמכויות הדירקטור המכריע, היונקת חיותה מהוראות ההסכם. </w:t>
      </w:r>
    </w:p>
    <w:p w:rsidR="004420FD" w:rsidRPr="004420FD" w:rsidRDefault="004420FD" w:rsidP="004420FD">
      <w:pPr>
        <w:spacing w:after="0" w:line="240" w:lineRule="auto"/>
        <w:ind w:left="720"/>
        <w:contextualSpacing/>
        <w:rPr>
          <w:rFonts w:ascii="Arial" w:eastAsia="Times New Roman" w:hAnsi="Arial" w:cs="David"/>
          <w:sz w:val="24"/>
          <w:szCs w:val="24"/>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rPr>
      </w:pPr>
      <w:r w:rsidRPr="004420FD">
        <w:rPr>
          <w:rFonts w:ascii="Arial" w:eastAsia="Times New Roman" w:hAnsi="Arial" w:cs="David" w:hint="cs"/>
          <w:sz w:val="24"/>
          <w:szCs w:val="24"/>
          <w:rtl/>
        </w:rPr>
        <w:t>על יסוד כל האמור לעיל, לא מצאתי, כי יצאה שגגה תחת ידי בית המשפט קמא ולא מצאתי להתערב בהחלטתו</w:t>
      </w:r>
      <w:r w:rsidRPr="004420FD">
        <w:rPr>
          <w:rFonts w:ascii="David" w:eastAsia="Times New Roman" w:hAnsi="David" w:cs="David" w:hint="cs"/>
          <w:sz w:val="24"/>
          <w:szCs w:val="24"/>
          <w:rtl/>
        </w:rPr>
        <w:t>. לפיכך, הבקשה נדחית.</w:t>
      </w:r>
    </w:p>
    <w:p w:rsidR="004420FD" w:rsidRPr="004420FD" w:rsidRDefault="004420FD" w:rsidP="004420FD">
      <w:pPr>
        <w:spacing w:after="0" w:line="240" w:lineRule="auto"/>
        <w:ind w:left="720"/>
        <w:contextualSpacing/>
        <w:rPr>
          <w:rFonts w:ascii="David" w:eastAsia="Times New Roman" w:hAnsi="David" w:cs="David"/>
          <w:sz w:val="24"/>
          <w:szCs w:val="24"/>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rPr>
      </w:pPr>
      <w:r w:rsidRPr="004420FD">
        <w:rPr>
          <w:rFonts w:ascii="David" w:eastAsia="Times New Roman" w:hAnsi="David" w:cs="David" w:hint="cs"/>
          <w:sz w:val="24"/>
          <w:szCs w:val="24"/>
          <w:rtl/>
        </w:rPr>
        <w:t xml:space="preserve">המבקשים יישאו בהוצאות המשיבים בסך 3,500 ₪ מתוך העירבון שהופקד על ידם בהליך. היתרה על פירותיה תושב לידיהם.  </w:t>
      </w:r>
    </w:p>
    <w:p w:rsidR="004420FD" w:rsidRPr="004420FD" w:rsidRDefault="004420FD" w:rsidP="004420FD">
      <w:pPr>
        <w:spacing w:after="0" w:line="240" w:lineRule="auto"/>
        <w:ind w:left="720"/>
        <w:contextualSpacing/>
        <w:rPr>
          <w:rFonts w:ascii="David" w:eastAsia="Times New Roman" w:hAnsi="David" w:cs="David"/>
          <w:sz w:val="24"/>
          <w:szCs w:val="24"/>
          <w:rtl/>
        </w:rPr>
      </w:pPr>
    </w:p>
    <w:p w:rsidR="004420FD" w:rsidRPr="004420FD" w:rsidRDefault="004420FD" w:rsidP="004420FD">
      <w:pPr>
        <w:numPr>
          <w:ilvl w:val="0"/>
          <w:numId w:val="1"/>
        </w:numPr>
        <w:spacing w:after="0" w:line="360" w:lineRule="auto"/>
        <w:contextualSpacing/>
        <w:jc w:val="both"/>
        <w:rPr>
          <w:rFonts w:ascii="David" w:eastAsia="Times New Roman" w:hAnsi="David" w:cs="David"/>
          <w:sz w:val="24"/>
          <w:szCs w:val="24"/>
        </w:rPr>
      </w:pPr>
      <w:r w:rsidRPr="004420FD">
        <w:rPr>
          <w:rFonts w:ascii="David" w:eastAsia="Times New Roman" w:hAnsi="David" w:cs="David" w:hint="cs"/>
          <w:sz w:val="24"/>
          <w:szCs w:val="24"/>
          <w:rtl/>
        </w:rPr>
        <w:t>המזכירות תמציא ההחלטה לצדדים.</w:t>
      </w:r>
    </w:p>
    <w:p w:rsidR="004420FD" w:rsidRPr="004420FD" w:rsidRDefault="004420FD" w:rsidP="004420FD">
      <w:pPr>
        <w:spacing w:after="0" w:line="240" w:lineRule="auto"/>
        <w:ind w:left="720"/>
        <w:contextualSpacing/>
        <w:rPr>
          <w:rFonts w:ascii="David" w:eastAsia="Times New Roman" w:hAnsi="David" w:cs="David"/>
          <w:sz w:val="24"/>
          <w:szCs w:val="24"/>
          <w:rtl/>
        </w:rPr>
      </w:pPr>
    </w:p>
    <w:p w:rsidR="004420FD" w:rsidRPr="004420FD" w:rsidRDefault="004420FD" w:rsidP="004420FD">
      <w:pPr>
        <w:numPr>
          <w:ilvl w:val="0"/>
          <w:numId w:val="1"/>
        </w:numPr>
        <w:spacing w:after="0" w:line="360" w:lineRule="auto"/>
        <w:contextualSpacing/>
        <w:jc w:val="both"/>
        <w:rPr>
          <w:rFonts w:ascii="Arial" w:eastAsia="Times New Roman" w:hAnsi="Arial" w:cs="David"/>
          <w:sz w:val="24"/>
          <w:szCs w:val="24"/>
          <w:rtl/>
        </w:rPr>
      </w:pPr>
      <w:r w:rsidRPr="004420FD">
        <w:rPr>
          <w:rFonts w:ascii="David" w:eastAsia="Times New Roman" w:hAnsi="David" w:cs="David" w:hint="cs"/>
          <w:sz w:val="24"/>
          <w:szCs w:val="24"/>
          <w:rtl/>
        </w:rPr>
        <w:t>ההחלטה ניתנת לפרסום תוך השמטת שמות הצדדים ופרטים מזהים נוספים.</w:t>
      </w:r>
    </w:p>
    <w:p w:rsidR="004420FD" w:rsidRPr="004420FD" w:rsidRDefault="004420FD" w:rsidP="004420FD">
      <w:pPr>
        <w:spacing w:after="0" w:line="360" w:lineRule="auto"/>
        <w:jc w:val="both"/>
        <w:rPr>
          <w:rFonts w:ascii="Arial" w:eastAsia="Times New Roman" w:hAnsi="Arial" w:cs="David"/>
          <w:sz w:val="24"/>
          <w:szCs w:val="24"/>
          <w:rtl/>
        </w:rPr>
      </w:pPr>
    </w:p>
    <w:p w:rsidR="004420FD" w:rsidRPr="004420FD" w:rsidRDefault="004420FD" w:rsidP="004420FD">
      <w:pPr>
        <w:spacing w:after="0" w:line="360" w:lineRule="auto"/>
        <w:jc w:val="both"/>
        <w:rPr>
          <w:rFonts w:ascii="Arial" w:eastAsia="Times New Roman" w:hAnsi="Arial" w:cs="David"/>
          <w:sz w:val="24"/>
          <w:szCs w:val="24"/>
          <w:rtl/>
        </w:rPr>
      </w:pPr>
      <w:r w:rsidRPr="004420FD">
        <w:rPr>
          <w:rFonts w:ascii="Arial" w:eastAsia="Times New Roman" w:hAnsi="Arial" w:cs="David"/>
          <w:sz w:val="24"/>
          <w:szCs w:val="24"/>
          <w:rtl/>
        </w:rPr>
        <w:t>נית</w:t>
      </w:r>
      <w:r w:rsidRPr="004420FD">
        <w:rPr>
          <w:rFonts w:ascii="Arial" w:eastAsia="Times New Roman" w:hAnsi="Arial" w:cs="David" w:hint="cs"/>
          <w:sz w:val="24"/>
          <w:szCs w:val="24"/>
          <w:rtl/>
        </w:rPr>
        <w:t>נה</w:t>
      </w:r>
      <w:r w:rsidRPr="004420FD">
        <w:rPr>
          <w:rFonts w:ascii="Arial" w:eastAsia="Times New Roman" w:hAnsi="Arial" w:cs="David"/>
          <w:sz w:val="24"/>
          <w:szCs w:val="24"/>
          <w:rtl/>
        </w:rPr>
        <w:t xml:space="preserve"> היום, </w:t>
      </w:r>
      <w:sdt>
        <w:sdtPr>
          <w:rPr>
            <w:rFonts w:ascii="Times New Roman" w:eastAsia="Times New Roman" w:hAnsi="Times New Roman" w:cs="David"/>
            <w:noProof/>
            <w:sz w:val="24"/>
            <w:szCs w:val="24"/>
            <w:rtl/>
          </w:rPr>
          <w:alias w:val="1455"/>
          <w:tag w:val="1455"/>
          <w:id w:val="1666048407"/>
          <w:text w:multiLine="1"/>
        </w:sdtPr>
        <w:sdtEndPr/>
        <w:sdtContent>
          <w:r w:rsidRPr="004420FD">
            <w:rPr>
              <w:rFonts w:ascii="Times New Roman" w:eastAsia="Times New Roman" w:hAnsi="Times New Roman" w:cs="David" w:hint="cs"/>
              <w:noProof/>
              <w:sz w:val="24"/>
              <w:szCs w:val="24"/>
              <w:rtl/>
            </w:rPr>
            <w:t>ו' אלול תשפ"ג</w:t>
          </w:r>
        </w:sdtContent>
      </w:sdt>
      <w:r w:rsidRPr="004420FD">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86288958"/>
          <w:text w:multiLine="1"/>
        </w:sdtPr>
        <w:sdtEndPr/>
        <w:sdtContent>
          <w:r w:rsidRPr="004420FD">
            <w:rPr>
              <w:rFonts w:ascii="Times New Roman" w:eastAsia="Times New Roman" w:hAnsi="Times New Roman" w:cs="David"/>
              <w:noProof/>
              <w:sz w:val="24"/>
              <w:szCs w:val="24"/>
              <w:rtl/>
            </w:rPr>
            <w:t>23 אוגוסט 2023</w:t>
          </w:r>
        </w:sdtContent>
      </w:sdt>
      <w:r w:rsidRPr="004420FD">
        <w:rPr>
          <w:rFonts w:ascii="Arial" w:eastAsia="Times New Roman" w:hAnsi="Arial" w:cs="David"/>
          <w:sz w:val="24"/>
          <w:szCs w:val="24"/>
          <w:rtl/>
        </w:rPr>
        <w:t>, בהעדר הצדדים.</w:t>
      </w:r>
    </w:p>
    <w:p w:rsidR="004420FD" w:rsidRPr="004420FD" w:rsidRDefault="00412FB9" w:rsidP="004420FD">
      <w:pPr>
        <w:tabs>
          <w:tab w:val="left" w:pos="2553"/>
        </w:tabs>
        <w:spacing w:after="0" w:line="240" w:lineRule="auto"/>
        <w:ind w:left="5040"/>
        <w:rPr>
          <w:rFonts w:ascii="Times New Roman" w:eastAsia="Times New Roman" w:hAnsi="Times New Roman" w:cs="David"/>
          <w:noProof/>
          <w:sz w:val="24"/>
          <w:szCs w:val="24"/>
          <w:rtl/>
        </w:rPr>
      </w:pPr>
      <w:sdt>
        <w:sdtPr>
          <w:rPr>
            <w:rFonts w:ascii="Times New Roman" w:eastAsia="Times New Roman" w:hAnsi="Times New Roman" w:cs="David" w:hint="cs"/>
            <w:noProof/>
            <w:sz w:val="24"/>
            <w:szCs w:val="24"/>
            <w:rtl/>
          </w:rPr>
          <w:alias w:val="2045"/>
          <w:tag w:val="2045"/>
          <w:id w:val="740689340"/>
          <w:placeholder>
            <w:docPart w:val="9F7065B9802440A2A14B8445D402B654"/>
          </w:placeholder>
          <w:showingPlcHdr/>
          <w:text w:multiLine="1"/>
        </w:sdtPr>
        <w:sdtEndPr/>
        <w:sdtContent>
          <w:r w:rsidR="004420FD" w:rsidRPr="004420FD">
            <w:rPr>
              <w:rFonts w:ascii="Times New Roman" w:eastAsia="Times New Roman" w:hAnsi="Times New Roman" w:cs="David" w:hint="cs"/>
              <w:noProof/>
              <w:sz w:val="24"/>
              <w:szCs w:val="24"/>
              <w:rtl/>
            </w:rPr>
            <w:t xml:space="preserve">     </w:t>
          </w:r>
        </w:sdtContent>
      </w:sdt>
    </w:p>
    <w:p w:rsidR="004420FD" w:rsidRPr="004420FD" w:rsidRDefault="004420FD" w:rsidP="004420FD">
      <w:pPr>
        <w:tabs>
          <w:tab w:val="left" w:pos="2553"/>
        </w:tabs>
        <w:spacing w:after="0" w:line="240" w:lineRule="auto"/>
        <w:rPr>
          <w:rFonts w:ascii="Times New Roman" w:eastAsia="Times New Roman" w:hAnsi="Times New Roman" w:cs="David"/>
          <w:noProof/>
          <w:sz w:val="24"/>
          <w:szCs w:val="24"/>
        </w:rPr>
      </w:pPr>
      <w:r w:rsidRPr="004420FD">
        <w:rPr>
          <w:rFonts w:ascii="Times New Roman" w:eastAsia="Times New Roman" w:hAnsi="Times New Roman" w:cs="David" w:hint="cs"/>
          <w:noProof/>
          <w:sz w:val="24"/>
          <w:szCs w:val="24"/>
          <w:rtl/>
        </w:rPr>
        <w:tab/>
      </w:r>
      <w:r w:rsidRPr="004420FD">
        <w:rPr>
          <w:rFonts w:ascii="Times New Roman" w:eastAsia="Times New Roman" w:hAnsi="Times New Roman" w:cs="David" w:hint="cs"/>
          <w:noProof/>
          <w:sz w:val="24"/>
          <w:szCs w:val="24"/>
          <w:rtl/>
        </w:rPr>
        <w:tab/>
      </w:r>
      <w:r w:rsidRPr="004420FD">
        <w:rPr>
          <w:rFonts w:ascii="Times New Roman" w:eastAsia="Times New Roman" w:hAnsi="Times New Roman" w:cs="David" w:hint="cs"/>
          <w:noProof/>
          <w:sz w:val="24"/>
          <w:szCs w:val="24"/>
          <w:rtl/>
        </w:rPr>
        <w:tab/>
      </w:r>
      <w:r w:rsidRPr="004420FD">
        <w:rPr>
          <w:rFonts w:ascii="Times New Roman" w:eastAsia="Times New Roman" w:hAnsi="Times New Roman" w:cs="David" w:hint="cs"/>
          <w:noProof/>
          <w:sz w:val="24"/>
          <w:szCs w:val="24"/>
          <w:rtl/>
        </w:rPr>
        <w:tab/>
        <w:t xml:space="preserve">        </w:t>
      </w:r>
      <w:sdt>
        <w:sdtPr>
          <w:rPr>
            <w:rFonts w:ascii="Times New Roman" w:eastAsia="Times New Roman" w:hAnsi="Times New Roman" w:cs="David"/>
            <w:noProof/>
            <w:sz w:val="24"/>
            <w:szCs w:val="24"/>
            <w:rtl/>
          </w:rPr>
          <w:alias w:val="MergeField"/>
          <w:tag w:val="1237"/>
          <w:id w:val="918837751"/>
        </w:sdtPr>
        <w:sdtEndPr/>
        <w:sdtContent>
          <w:r w:rsidRPr="004420FD">
            <w:rPr>
              <w:rFonts w:ascii="Times New Roman" w:eastAsia="Times New Roman" w:hAnsi="Times New Roman" w:cs="David"/>
              <w:noProof/>
              <w:sz w:val="24"/>
              <w:szCs w:val="24"/>
            </w:rPr>
            <w:drawing>
              <wp:inline distT="0" distB="0" distL="0" distR="0" wp14:anchorId="30E58739" wp14:editId="708172B1">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66875" cy="1047750"/>
                        </a:xfrm>
                        <a:prstGeom prst="rect">
                          <a:avLst/>
                        </a:prstGeom>
                      </pic:spPr>
                    </pic:pic>
                  </a:graphicData>
                </a:graphic>
              </wp:inline>
            </w:drawing>
          </w:r>
        </w:sdtContent>
      </w:sdt>
    </w:p>
    <w:p w:rsidR="004420FD" w:rsidRPr="004420FD" w:rsidRDefault="004420FD" w:rsidP="004420FD">
      <w:pPr>
        <w:tabs>
          <w:tab w:val="left" w:pos="2553"/>
        </w:tabs>
        <w:spacing w:after="0" w:line="240" w:lineRule="auto"/>
        <w:rPr>
          <w:rFonts w:ascii="Arial" w:eastAsia="Times New Roman" w:hAnsi="Arial" w:cs="David"/>
          <w:sz w:val="24"/>
          <w:szCs w:val="24"/>
          <w:rtl/>
        </w:rPr>
      </w:pPr>
    </w:p>
    <w:p w:rsidR="0012217A" w:rsidRDefault="0012217A"/>
    <w:sectPr w:rsidR="0012217A" w:rsidSect="00E766E4">
      <w:pgSz w:w="11906" w:h="16838"/>
      <w:pgMar w:top="851"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01BB2"/>
    <w:multiLevelType w:val="hybridMultilevel"/>
    <w:tmpl w:val="74F2E842"/>
    <w:lvl w:ilvl="0" w:tplc="DDE2DF2C">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0FD"/>
    <w:rsid w:val="0012217A"/>
    <w:rsid w:val="00412FB9"/>
    <w:rsid w:val="004420FD"/>
    <w:rsid w:val="007E46ED"/>
    <w:rsid w:val="00801B41"/>
    <w:rsid w:val="00897C85"/>
    <w:rsid w:val="008F5D8A"/>
    <w:rsid w:val="00956553"/>
    <w:rsid w:val="00A57A13"/>
    <w:rsid w:val="00E766E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87BAF6-FB78-4B4B-978E-285F28DBF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420F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71132EF7D06463B8F247568F3456BA5"/>
        <w:category>
          <w:name w:val="כללי"/>
          <w:gallery w:val="placeholder"/>
        </w:category>
        <w:types>
          <w:type w:val="bbPlcHdr"/>
        </w:types>
        <w:behaviors>
          <w:behavior w:val="content"/>
        </w:behaviors>
        <w:guid w:val="{FD72FDBF-219B-4785-BE7A-1AF1537368F5}"/>
      </w:docPartPr>
      <w:docPartBody>
        <w:p w:rsidR="00A56B97" w:rsidRDefault="00F137B0" w:rsidP="00F137B0">
          <w:pPr>
            <w:pStyle w:val="471132EF7D06463B8F247568F3456BA5"/>
          </w:pPr>
          <w:r w:rsidRPr="00CD516B">
            <w:rPr>
              <w:rFonts w:ascii="Arial" w:hAnsi="Arial"/>
              <w:b/>
              <w:bCs/>
              <w:sz w:val="26"/>
              <w:szCs w:val="26"/>
              <w:rtl/>
            </w:rPr>
            <w:t>שם צד ב' ללא שם של חסוי</w:t>
          </w:r>
        </w:p>
      </w:docPartBody>
    </w:docPart>
    <w:docPart>
      <w:docPartPr>
        <w:name w:val="9F7065B9802440A2A14B8445D402B654"/>
        <w:category>
          <w:name w:val="כללי"/>
          <w:gallery w:val="placeholder"/>
        </w:category>
        <w:types>
          <w:type w:val="bbPlcHdr"/>
        </w:types>
        <w:behaviors>
          <w:behavior w:val="content"/>
        </w:behaviors>
        <w:guid w:val="{90790325-1C9F-4589-A924-BFD11877D01D}"/>
      </w:docPartPr>
      <w:docPartBody>
        <w:p w:rsidR="00A56B97" w:rsidRDefault="00F137B0" w:rsidP="00F137B0">
          <w:pPr>
            <w:pStyle w:val="9F7065B9802440A2A14B8445D402B654"/>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7B0"/>
    <w:rsid w:val="008E5033"/>
    <w:rsid w:val="00A56B97"/>
    <w:rsid w:val="00B445B4"/>
    <w:rsid w:val="00F137B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F5DF36256B042DF8D6CF3EEEC11337A">
    <w:name w:val="7F5DF36256B042DF8D6CF3EEEC11337A"/>
    <w:rsid w:val="00F137B0"/>
    <w:pPr>
      <w:bidi/>
    </w:pPr>
  </w:style>
  <w:style w:type="paragraph" w:customStyle="1" w:styleId="471132EF7D06463B8F247568F3456BA5">
    <w:name w:val="471132EF7D06463B8F247568F3456BA5"/>
    <w:rsid w:val="00F137B0"/>
    <w:pPr>
      <w:bidi/>
    </w:pPr>
  </w:style>
  <w:style w:type="paragraph" w:customStyle="1" w:styleId="9F7065B9802440A2A14B8445D402B654">
    <w:name w:val="9F7065B9802440A2A14B8445D402B654"/>
    <w:rsid w:val="00F137B0"/>
    <w:pPr>
      <w:bidi/>
    </w:pPr>
  </w:style>
  <w:style w:type="paragraph" w:customStyle="1" w:styleId="B4C4982664D84CB9AB36F5841A572320">
    <w:name w:val="B4C4982664D84CB9AB36F5841A572320"/>
    <w:rsid w:val="00F137B0"/>
    <w:pPr>
      <w:bidi/>
    </w:pPr>
  </w:style>
  <w:style w:type="paragraph" w:customStyle="1" w:styleId="179E9D4488CA462A87AD6B8B57BB84BF">
    <w:name w:val="179E9D4488CA462A87AD6B8B57BB84BF"/>
    <w:rsid w:val="00F137B0"/>
    <w:pPr>
      <w:bidi/>
    </w:pPr>
  </w:style>
  <w:style w:type="paragraph" w:customStyle="1" w:styleId="DAC387A2B81B4293BD551CD8C7D78177">
    <w:name w:val="DAC387A2B81B4293BD551CD8C7D78177"/>
    <w:rsid w:val="00A56B97"/>
    <w:pPr>
      <w:bidi/>
    </w:pPr>
  </w:style>
  <w:style w:type="paragraph" w:customStyle="1" w:styleId="E6E728B9606E4AA1B8E16D064563CE8E">
    <w:name w:val="E6E728B9606E4AA1B8E16D064563CE8E"/>
    <w:rsid w:val="00A56B9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914D0-2CDD-4005-A141-6EB0E920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2630</Words>
  <Characters>13153</Characters>
  <Application>Microsoft Office Word</Application>
  <DocSecurity>0</DocSecurity>
  <Lines>109</Lines>
  <Paragraphs>31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אסתר טטרואשילי</cp:lastModifiedBy>
  <cp:revision>2</cp:revision>
  <dcterms:created xsi:type="dcterms:W3CDTF">2023-09-05T12:32:00Z</dcterms:created>
  <dcterms:modified xsi:type="dcterms:W3CDTF">2023-09-05T12:32:00Z</dcterms:modified>
</cp:coreProperties>
</file>